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AFEB" w14:textId="6E3A0B95" w:rsidR="00E3071C" w:rsidRPr="009D30E3" w:rsidRDefault="009D30E3">
      <w:pPr>
        <w:rPr>
          <w:rFonts w:ascii="DM Sans" w:hAnsi="DM Sans"/>
        </w:rPr>
      </w:pPr>
      <w:r w:rsidRPr="009D30E3">
        <w:rPr>
          <w:rFonts w:ascii="DM Sans" w:hAnsi="DM Sans"/>
          <w:noProof/>
          <w:lang w:eastAsia="en-AU"/>
        </w:rPr>
        <mc:AlternateContent>
          <mc:Choice Requires="wps">
            <w:drawing>
              <wp:anchor distT="0" distB="0" distL="114300" distR="114300" simplePos="0" relativeHeight="251658244" behindDoc="1" locked="0" layoutInCell="1" allowOverlap="1" wp14:anchorId="17197969" wp14:editId="07ABDE70">
                <wp:simplePos x="0" y="0"/>
                <wp:positionH relativeFrom="column">
                  <wp:posOffset>-1479550</wp:posOffset>
                </wp:positionH>
                <wp:positionV relativeFrom="paragraph">
                  <wp:posOffset>-3475990</wp:posOffset>
                </wp:positionV>
                <wp:extent cx="8146415" cy="8432800"/>
                <wp:effectExtent l="0" t="0" r="6985" b="6350"/>
                <wp:wrapNone/>
                <wp:docPr id="7" name="Rectangle 7"/>
                <wp:cNvGraphicFramePr/>
                <a:graphic xmlns:a="http://schemas.openxmlformats.org/drawingml/2006/main">
                  <a:graphicData uri="http://schemas.microsoft.com/office/word/2010/wordprocessingShape">
                    <wps:wsp>
                      <wps:cNvSpPr/>
                      <wps:spPr>
                        <a:xfrm>
                          <a:off x="0" y="0"/>
                          <a:ext cx="8146415" cy="8432800"/>
                        </a:xfrm>
                        <a:prstGeom prst="rect">
                          <a:avLst/>
                        </a:prstGeom>
                        <a:solidFill>
                          <a:srgbClr val="FFDC00"/>
                        </a:solidFill>
                        <a:ln>
                          <a:noFill/>
                        </a:ln>
                        <a:effectLst/>
                      </wps:spPr>
                      <wps:style>
                        <a:lnRef idx="1">
                          <a:schemeClr val="accent1"/>
                        </a:lnRef>
                        <a:fillRef idx="3">
                          <a:schemeClr val="accent1"/>
                        </a:fillRef>
                        <a:effectRef idx="2">
                          <a:schemeClr val="accent1"/>
                        </a:effectRef>
                        <a:fontRef idx="minor">
                          <a:schemeClr val="lt1"/>
                        </a:fontRef>
                      </wps:style>
                      <wps:txbx>
                        <w:txbxContent>
                          <w:p w14:paraId="14A55045" w14:textId="457885E6" w:rsidR="00905A99" w:rsidRDefault="00905A99" w:rsidP="009D30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97969" id="Rectangle 7" o:spid="_x0000_s1026" style="position:absolute;margin-left:-116.5pt;margin-top:-273.7pt;width:641.45pt;height:664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" fillcolor="#ffdc00" stroked="f">
                <v:textbox>
                  <w:txbxContent>
                    <w:p w14:paraId="14A55045" w14:textId="457885E6" w:rsidR="00905A99" w:rsidRDefault="00905A99" w:rsidP="009D30E3">
                      <w:pPr>
                        <w:jc w:val="center"/>
                      </w:pPr>
                    </w:p>
                  </w:txbxContent>
                </v:textbox>
              </v:rect>
            </w:pict>
          </mc:Fallback>
        </mc:AlternateContent>
      </w:r>
      <w:r w:rsidR="00164AC5" w:rsidRPr="009D30E3">
        <w:rPr>
          <w:rFonts w:ascii="DM Sans" w:hAnsi="DM Sans"/>
          <w:noProof/>
          <w:lang w:eastAsia="en-AU"/>
        </w:rPr>
        <w:drawing>
          <wp:anchor distT="0" distB="0" distL="114300" distR="114300" simplePos="0" relativeHeight="251658241" behindDoc="0" locked="0" layoutInCell="1" allowOverlap="1" wp14:anchorId="04A96D1F" wp14:editId="63ABC790">
            <wp:simplePos x="0" y="0"/>
            <wp:positionH relativeFrom="column">
              <wp:posOffset>2938103</wp:posOffset>
            </wp:positionH>
            <wp:positionV relativeFrom="paragraph">
              <wp:posOffset>-769844</wp:posOffset>
            </wp:positionV>
            <wp:extent cx="3498850" cy="20546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96DAC541-7B7A-43D3-8B79-37D633B846F1}">
                          <asvg:svgBlip xmlns:asvg="http://schemas.microsoft.com/office/drawing/2016/SVG/main" r:embed="rId12"/>
                        </a:ext>
                      </a:extLst>
                    </a:blip>
                    <a:stretch>
                      <a:fillRect/>
                    </a:stretch>
                  </pic:blipFill>
                  <pic:spPr>
                    <a:xfrm>
                      <a:off x="0" y="0"/>
                      <a:ext cx="3498850" cy="2054693"/>
                    </a:xfrm>
                    <a:prstGeom prst="rect">
                      <a:avLst/>
                    </a:prstGeom>
                  </pic:spPr>
                </pic:pic>
              </a:graphicData>
            </a:graphic>
            <wp14:sizeRelH relativeFrom="page">
              <wp14:pctWidth>0</wp14:pctWidth>
            </wp14:sizeRelH>
            <wp14:sizeRelV relativeFrom="page">
              <wp14:pctHeight>0</wp14:pctHeight>
            </wp14:sizeRelV>
          </wp:anchor>
        </w:drawing>
      </w:r>
      <w:r w:rsidR="008E4252" w:rsidRPr="009D30E3">
        <w:rPr>
          <w:rFonts w:ascii="DM Sans" w:hAnsi="DM Sans"/>
        </w:rPr>
        <w:softHyphen/>
      </w:r>
      <w:r w:rsidR="008E4252" w:rsidRPr="009D30E3">
        <w:rPr>
          <w:rFonts w:ascii="DM Sans" w:hAnsi="DM Sans"/>
        </w:rPr>
        <w:softHyphen/>
      </w:r>
    </w:p>
    <w:sdt>
      <w:sdtPr>
        <w:rPr>
          <w:rFonts w:ascii="DM Sans" w:hAnsi="DM Sans"/>
        </w:rPr>
        <w:id w:val="376516335"/>
        <w:docPartObj>
          <w:docPartGallery w:val="Cover Pages"/>
          <w:docPartUnique/>
        </w:docPartObj>
      </w:sdtPr>
      <w:sdtEndPr>
        <w:rPr>
          <w:bCs/>
          <w:szCs w:val="20"/>
        </w:rPr>
      </w:sdtEndPr>
      <w:sdtContent>
        <w:p w14:paraId="7B80CD0B" w14:textId="23180A0B" w:rsidR="0029388A" w:rsidRPr="009D30E3" w:rsidRDefault="00956F45" w:rsidP="00956F45">
          <w:pPr>
            <w:tabs>
              <w:tab w:val="left" w:pos="4885"/>
            </w:tabs>
            <w:rPr>
              <w:rFonts w:ascii="DM Sans" w:hAnsi="DM Sans"/>
            </w:rPr>
          </w:pPr>
          <w:r>
            <w:rPr>
              <w:rFonts w:ascii="DM Sans" w:hAnsi="DM Sans"/>
            </w:rPr>
            <w:tab/>
          </w:r>
        </w:p>
        <w:p w14:paraId="174716CF" w14:textId="10606565" w:rsidR="0029388A" w:rsidRPr="009D30E3" w:rsidRDefault="0029388A">
          <w:pPr>
            <w:rPr>
              <w:rFonts w:ascii="DM Sans" w:hAnsi="DM Sans"/>
            </w:rPr>
          </w:pPr>
        </w:p>
        <w:p w14:paraId="1D42C7C3" w14:textId="6C5AFA5A" w:rsidR="0029388A" w:rsidRPr="009D30E3" w:rsidRDefault="0029388A">
          <w:pPr>
            <w:rPr>
              <w:rFonts w:ascii="DM Sans" w:hAnsi="DM Sans"/>
            </w:rPr>
          </w:pPr>
        </w:p>
        <w:p w14:paraId="1F6F884D" w14:textId="614D0EE1" w:rsidR="008C7EFA" w:rsidRPr="009D30E3" w:rsidRDefault="00956F45" w:rsidP="009D30E3">
          <w:pPr>
            <w:rPr>
              <w:rFonts w:ascii="DM Sans" w:hAnsi="DM Sans"/>
              <w:bCs/>
              <w:szCs w:val="20"/>
            </w:rPr>
          </w:pPr>
          <w:r w:rsidRPr="009D30E3">
            <w:rPr>
              <w:rFonts w:ascii="DM Sans" w:hAnsi="DM Sans"/>
              <w:bCs/>
              <w:noProof/>
              <w:szCs w:val="20"/>
              <w:lang w:eastAsia="en-AU"/>
            </w:rPr>
            <mc:AlternateContent>
              <mc:Choice Requires="wps">
                <w:drawing>
                  <wp:anchor distT="0" distB="0" distL="114300" distR="114300" simplePos="0" relativeHeight="251658242" behindDoc="0" locked="0" layoutInCell="1" allowOverlap="1" wp14:anchorId="0A5A36E0" wp14:editId="6440AFD1">
                    <wp:simplePos x="0" y="0"/>
                    <wp:positionH relativeFrom="margin">
                      <wp:align>right</wp:align>
                    </wp:positionH>
                    <wp:positionV relativeFrom="paragraph">
                      <wp:posOffset>2102589</wp:posOffset>
                    </wp:positionV>
                    <wp:extent cx="5818505" cy="13157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1315720"/>
                            </a:xfrm>
                            <a:prstGeom prst="rect">
                              <a:avLst/>
                            </a:prstGeom>
                            <a:noFill/>
                            <a:ln w="9525">
                              <a:noFill/>
                              <a:miter lim="800000"/>
                              <a:headEnd/>
                              <a:tailEnd/>
                            </a:ln>
                          </wps:spPr>
                          <wps:txbx>
                            <w:txbxContent>
                              <w:p w14:paraId="2560B1DC" w14:textId="77777777" w:rsidR="008C7EFA" w:rsidRDefault="008C7EFA" w:rsidP="008C7EFA">
                                <w:pPr>
                                  <w:pStyle w:val="Title"/>
                                  <w:rPr>
                                    <w:rFonts w:ascii="DM Sans" w:hAnsi="DM Sans"/>
                                    <w:sz w:val="48"/>
                                    <w:szCs w:val="48"/>
                                  </w:rPr>
                                </w:pPr>
                                <w:r w:rsidRPr="006C686A">
                                  <w:rPr>
                                    <w:rFonts w:ascii="DM Sans" w:hAnsi="DM Sans"/>
                                    <w:color w:val="auto"/>
                                    <w:sz w:val="48"/>
                                    <w:szCs w:val="48"/>
                                  </w:rPr>
                                  <w:t>Risk in Context: People with Disabilities</w:t>
                                </w:r>
                              </w:p>
                              <w:p w14:paraId="1AD1042B" w14:textId="43FE889B" w:rsidR="003B08F9" w:rsidRPr="008C4A52" w:rsidRDefault="003B08F9" w:rsidP="008C4A52">
                                <w:pPr>
                                  <w:pStyle w:val="Title"/>
                                </w:pPr>
                              </w:p>
                              <w:p w14:paraId="5F999580" w14:textId="77777777" w:rsidR="003B08F9" w:rsidRPr="008C4A52" w:rsidRDefault="003B08F9" w:rsidP="008C4A52">
                                <w:pPr>
                                  <w:pStyle w:val="Title"/>
                                </w:pPr>
                              </w:p>
                              <w:p w14:paraId="22092BF7" w14:textId="77777777" w:rsidR="003B08F9" w:rsidRPr="008C4A52" w:rsidRDefault="003B08F9" w:rsidP="008C4A52">
                                <w:pPr>
                                  <w:pStyle w:val="Title"/>
                                </w:pPr>
                              </w:p>
                              <w:p w14:paraId="54E85BC0" w14:textId="77777777" w:rsidR="003B08F9" w:rsidRPr="008C4A52" w:rsidRDefault="003B08F9" w:rsidP="008C4A52">
                                <w:pPr>
                                  <w:pStyle w:val="Title"/>
                                </w:pPr>
                              </w:p>
                              <w:p w14:paraId="7114B75A" w14:textId="77777777" w:rsidR="003B08F9" w:rsidRPr="008C4A52" w:rsidRDefault="003B08F9" w:rsidP="008C4A52">
                                <w:pPr>
                                  <w:pStyle w:val="Title"/>
                                </w:pPr>
                              </w:p>
                              <w:p w14:paraId="42CAF965" w14:textId="77777777" w:rsidR="003B08F9" w:rsidRPr="008C4A52" w:rsidRDefault="003B08F9" w:rsidP="008C4A52">
                                <w:pPr>
                                  <w:pStyle w:val="Title"/>
                                </w:pPr>
                              </w:p>
                              <w:p w14:paraId="7FCE81B6" w14:textId="77777777" w:rsidR="003B08F9" w:rsidRPr="008C4A52" w:rsidRDefault="003B08F9" w:rsidP="008C4A52">
                                <w:pPr>
                                  <w:pStyle w:val="Titl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A36E0" id="_x0000_t202" coordsize="21600,21600" o:spt="202" path="m,l,21600r21600,l21600,xe">
                    <v:stroke joinstyle="miter"/>
                    <v:path gradientshapeok="t" o:connecttype="rect"/>
                  </v:shapetype>
                  <v:shape id="Text Box 2" o:spid="_x0000_s1027" type="#_x0000_t202" style="position:absolute;margin-left:406.95pt;margin-top:165.55pt;width:458.15pt;height:103.6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" filled="f" stroked="f">
                    <v:textbox>
                      <w:txbxContent>
                        <w:p w14:paraId="2560B1DC" w14:textId="77777777" w:rsidR="008C7EFA" w:rsidRDefault="008C7EFA" w:rsidP="008C7EFA">
                          <w:pPr>
                            <w:pStyle w:val="Title"/>
                            <w:rPr>
                              <w:rFonts w:ascii="DM Sans" w:hAnsi="DM Sans"/>
                              <w:sz w:val="48"/>
                              <w:szCs w:val="48"/>
                            </w:rPr>
                          </w:pPr>
                          <w:r w:rsidRPr="006C686A">
                            <w:rPr>
                              <w:rFonts w:ascii="DM Sans" w:hAnsi="DM Sans"/>
                              <w:color w:val="auto"/>
                              <w:sz w:val="48"/>
                              <w:szCs w:val="48"/>
                            </w:rPr>
                            <w:t>Risk in Context: People with Disabilities</w:t>
                          </w:r>
                        </w:p>
                        <w:p w14:paraId="1AD1042B" w14:textId="43FE889B" w:rsidR="003B08F9" w:rsidRPr="008C4A52" w:rsidRDefault="003B08F9" w:rsidP="008C4A52">
                          <w:pPr>
                            <w:pStyle w:val="Title"/>
                          </w:pPr>
                        </w:p>
                        <w:p w14:paraId="5F999580" w14:textId="77777777" w:rsidR="003B08F9" w:rsidRPr="008C4A52" w:rsidRDefault="003B08F9" w:rsidP="008C4A52">
                          <w:pPr>
                            <w:pStyle w:val="Title"/>
                          </w:pPr>
                        </w:p>
                        <w:p w14:paraId="22092BF7" w14:textId="77777777" w:rsidR="003B08F9" w:rsidRPr="008C4A52" w:rsidRDefault="003B08F9" w:rsidP="008C4A52">
                          <w:pPr>
                            <w:pStyle w:val="Title"/>
                          </w:pPr>
                        </w:p>
                        <w:p w14:paraId="54E85BC0" w14:textId="77777777" w:rsidR="003B08F9" w:rsidRPr="008C4A52" w:rsidRDefault="003B08F9" w:rsidP="008C4A52">
                          <w:pPr>
                            <w:pStyle w:val="Title"/>
                          </w:pPr>
                        </w:p>
                        <w:p w14:paraId="7114B75A" w14:textId="77777777" w:rsidR="003B08F9" w:rsidRPr="008C4A52" w:rsidRDefault="003B08F9" w:rsidP="008C4A52">
                          <w:pPr>
                            <w:pStyle w:val="Title"/>
                          </w:pPr>
                        </w:p>
                        <w:p w14:paraId="42CAF965" w14:textId="77777777" w:rsidR="003B08F9" w:rsidRPr="008C4A52" w:rsidRDefault="003B08F9" w:rsidP="008C4A52">
                          <w:pPr>
                            <w:pStyle w:val="Title"/>
                          </w:pPr>
                        </w:p>
                        <w:p w14:paraId="7FCE81B6" w14:textId="77777777" w:rsidR="003B08F9" w:rsidRPr="008C4A52" w:rsidRDefault="003B08F9" w:rsidP="008C4A52">
                          <w:pPr>
                            <w:pStyle w:val="Title"/>
                          </w:pPr>
                        </w:p>
                      </w:txbxContent>
                    </v:textbox>
                    <w10:wrap anchorx="margin"/>
                  </v:shape>
                </w:pict>
              </mc:Fallback>
            </mc:AlternateContent>
          </w:r>
          <w:r>
            <w:rPr>
              <w:rFonts w:ascii="DM Sans" w:hAnsi="DM Sans"/>
              <w:bCs/>
              <w:noProof/>
              <w:szCs w:val="20"/>
            </w:rPr>
            <w:drawing>
              <wp:anchor distT="0" distB="0" distL="114300" distR="114300" simplePos="0" relativeHeight="251659268" behindDoc="0" locked="0" layoutInCell="1" allowOverlap="1" wp14:anchorId="0F714911" wp14:editId="22E638A5">
                <wp:simplePos x="0" y="0"/>
                <wp:positionH relativeFrom="page">
                  <wp:posOffset>4445</wp:posOffset>
                </wp:positionH>
                <wp:positionV relativeFrom="paragraph">
                  <wp:posOffset>3612443</wp:posOffset>
                </wp:positionV>
                <wp:extent cx="7552481" cy="4790978"/>
                <wp:effectExtent l="0" t="0" r="0" b="0"/>
                <wp:wrapNone/>
                <wp:docPr id="1120701593" name="Picture 6" descr="Illustration of a diverse group of people socialising outdoors, including people of different ages, genders, skin tones and abilities. The group includes a person using a wheelchair, a person with a guide dog, and a person using a mobility cane, with others sitting and standing together around plan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01593" name="Picture 6" descr="Illustration of a diverse group of people socialising outdoors, including people of different ages, genders, skin tones and abilities. The group includes a person using a wheelchair, a person with a guide dog, and a person using a mobility cane, with others sitting and standing together around plants.">
                          <a:extLst>
                            <a:ext uri="{C183D7F6-B498-43B3-948B-1728B52AA6E4}">
                              <adec:decorative xmlns:adec="http://schemas.microsoft.com/office/drawing/2017/decorative" val="0"/>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2481" cy="4790978"/>
                        </a:xfrm>
                        <a:prstGeom prst="rect">
                          <a:avLst/>
                        </a:prstGeom>
                        <a:noFill/>
                        <a:ln>
                          <a:noFill/>
                        </a:ln>
                      </pic:spPr>
                    </pic:pic>
                  </a:graphicData>
                </a:graphic>
                <wp14:sizeRelH relativeFrom="page">
                  <wp14:pctWidth>0</wp14:pctWidth>
                </wp14:sizeRelH>
                <wp14:sizeRelV relativeFrom="page">
                  <wp14:pctHeight>0</wp14:pctHeight>
                </wp14:sizeRelV>
              </wp:anchor>
            </w:drawing>
          </w:r>
          <w:r w:rsidR="000B11C5" w:rsidRPr="009D30E3">
            <w:rPr>
              <w:rFonts w:ascii="DM Sans" w:hAnsi="DM Sans"/>
              <w:bCs/>
              <w:noProof/>
              <w:szCs w:val="20"/>
              <w:lang w:eastAsia="en-AU"/>
            </w:rPr>
            <mc:AlternateContent>
              <mc:Choice Requires="wps">
                <w:drawing>
                  <wp:anchor distT="0" distB="0" distL="114300" distR="114300" simplePos="0" relativeHeight="251658243" behindDoc="0" locked="0" layoutInCell="1" allowOverlap="1" wp14:anchorId="65F471AC" wp14:editId="1DE438EC">
                    <wp:simplePos x="0" y="0"/>
                    <wp:positionH relativeFrom="column">
                      <wp:posOffset>-2114550</wp:posOffset>
                    </wp:positionH>
                    <wp:positionV relativeFrom="paragraph">
                      <wp:posOffset>3012440</wp:posOffset>
                    </wp:positionV>
                    <wp:extent cx="89535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895350" cy="0"/>
                            </a:xfrm>
                            <a:prstGeom prst="line">
                              <a:avLst/>
                            </a:prstGeom>
                            <a:ln w="38100">
                              <a:solidFill>
                                <a:srgbClr val="8F8F9F"/>
                              </a:solidFill>
                              <a:headEnd w="med" len="lg"/>
                              <a:tailEnd w="med" len="lg"/>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452A4" id="Straight Connector 5"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237.2pt" to="-96pt,2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" strokecolor="#8f8f9f" strokeweight="3pt">
                    <v:stroke startarrowlength="long" endarrowlength="long"/>
                  </v:line>
                </w:pict>
              </mc:Fallback>
            </mc:AlternateContent>
          </w:r>
          <w:r w:rsidR="0029388A" w:rsidRPr="009D30E3">
            <w:rPr>
              <w:rFonts w:ascii="DM Sans" w:hAnsi="DM Sans"/>
              <w:bCs/>
              <w:szCs w:val="20"/>
            </w:rPr>
            <w:br w:type="page"/>
          </w:r>
        </w:p>
        <w:p w14:paraId="20AFBC25" w14:textId="556021C9" w:rsidR="008C7EFA" w:rsidRPr="009D30E3" w:rsidRDefault="008C7EFA" w:rsidP="008C7EFA">
          <w:pPr>
            <w:pStyle w:val="TOCHeading"/>
            <w:rPr>
              <w:rFonts w:ascii="DM Sans" w:hAnsi="DM Sans"/>
            </w:rPr>
          </w:pPr>
          <w:r w:rsidRPr="009D30E3">
            <w:rPr>
              <w:rFonts w:ascii="DM Sans" w:hAnsi="DM Sans"/>
            </w:rPr>
            <w:lastRenderedPageBreak/>
            <w:t>Acknowledgement of Country</w:t>
          </w:r>
        </w:p>
        <w:p w14:paraId="448BB174" w14:textId="290ADC3C" w:rsidR="008C7EFA" w:rsidRPr="009D30E3" w:rsidRDefault="008C7EFA">
          <w:pPr>
            <w:rPr>
              <w:rFonts w:ascii="DM Sans" w:hAnsi="DM Sans"/>
              <w:bCs/>
              <w:szCs w:val="20"/>
            </w:rPr>
          </w:pPr>
          <w:r w:rsidRPr="009D30E3">
            <w:rPr>
              <w:rFonts w:ascii="DM Sans" w:hAnsi="DM Sans"/>
              <w:bCs/>
              <w:szCs w:val="20"/>
            </w:rPr>
            <w:t xml:space="preserve">Safe and Equal </w:t>
          </w:r>
          <w:proofErr w:type="gramStart"/>
          <w:r w:rsidRPr="009D30E3">
            <w:rPr>
              <w:rFonts w:ascii="DM Sans" w:hAnsi="DM Sans"/>
              <w:bCs/>
              <w:szCs w:val="20"/>
            </w:rPr>
            <w:t>acknowledges</w:t>
          </w:r>
          <w:proofErr w:type="gramEnd"/>
          <w:r w:rsidRPr="009D30E3">
            <w:rPr>
              <w:rFonts w:ascii="DM Sans" w:hAnsi="DM Sans"/>
              <w:bCs/>
              <w:szCs w:val="20"/>
            </w:rPr>
            <w:t xml:space="preserve"> Aboriginal and Torres Strait Islander peoples as the traditional and ongoing custodians of the lands on which we live and work. We pay respects to Elders past and present. Sovereignty has never been ceded.</w:t>
          </w:r>
        </w:p>
        <w:sdt>
          <w:sdtPr>
            <w:rPr>
              <w:rFonts w:ascii="DM Sans" w:hAnsi="DM Sans"/>
            </w:rPr>
            <w:id w:val="534161201"/>
            <w:docPartObj>
              <w:docPartGallery w:val="Table of Contents"/>
              <w:docPartUnique/>
            </w:docPartObj>
          </w:sdtPr>
          <w:sdtEndPr>
            <w:rPr>
              <w:rFonts w:eastAsiaTheme="minorEastAsia" w:cstheme="minorBidi"/>
              <w:noProof/>
              <w:color w:val="000000" w:themeColor="text1"/>
              <w:sz w:val="22"/>
              <w:szCs w:val="22"/>
              <w:u w:val="none"/>
            </w:rPr>
          </w:sdtEndPr>
          <w:sdtContent>
            <w:p w14:paraId="6247522E" w14:textId="7DED33DB" w:rsidR="009D30E3" w:rsidRPr="009D30E3" w:rsidRDefault="009D30E3">
              <w:pPr>
                <w:pStyle w:val="TOCHeading"/>
                <w:rPr>
                  <w:rFonts w:ascii="DM Sans" w:hAnsi="DM Sans"/>
                </w:rPr>
              </w:pPr>
              <w:r w:rsidRPr="009D30E3">
                <w:rPr>
                  <w:rFonts w:ascii="DM Sans" w:hAnsi="DM Sans"/>
                </w:rPr>
                <w:t>Contents</w:t>
              </w:r>
            </w:p>
            <w:p w14:paraId="1B03F938" w14:textId="1CEA5B35" w:rsidR="009D30E3" w:rsidRPr="009D30E3" w:rsidRDefault="009D30E3">
              <w:pPr>
                <w:pStyle w:val="TOC1"/>
                <w:rPr>
                  <w:rFonts w:ascii="DM Sans" w:hAnsi="DM Sans"/>
                  <w:noProof/>
                  <w:color w:val="auto"/>
                  <w:kern w:val="2"/>
                  <w:sz w:val="24"/>
                  <w:szCs w:val="24"/>
                  <w:lang w:eastAsia="en-AU"/>
                  <w14:ligatures w14:val="standardContextual"/>
                </w:rPr>
              </w:pPr>
              <w:r w:rsidRPr="009D30E3">
                <w:rPr>
                  <w:rFonts w:ascii="DM Sans" w:hAnsi="DM Sans"/>
                </w:rPr>
                <w:fldChar w:fldCharType="begin"/>
              </w:r>
              <w:r w:rsidRPr="009D30E3">
                <w:rPr>
                  <w:rFonts w:ascii="DM Sans" w:hAnsi="DM Sans"/>
                </w:rPr>
                <w:instrText xml:space="preserve"> TOC \o "1-3" \h \z \u </w:instrText>
              </w:r>
              <w:r w:rsidRPr="009D30E3">
                <w:rPr>
                  <w:rFonts w:ascii="DM Sans" w:hAnsi="DM Sans"/>
                </w:rPr>
                <w:fldChar w:fldCharType="separate"/>
              </w:r>
              <w:hyperlink w:anchor="_Toc240894249" w:history="1">
                <w:r w:rsidRPr="009D30E3">
                  <w:rPr>
                    <w:rStyle w:val="Hyperlink"/>
                    <w:rFonts w:ascii="DM Sans" w:hAnsi="DM Sans"/>
                    <w:noProof/>
                  </w:rPr>
                  <w:t>Contributors</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_Toc240894249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3</w:t>
                </w:r>
                <w:r w:rsidRPr="009D30E3">
                  <w:rPr>
                    <w:rFonts w:ascii="DM Sans" w:hAnsi="DM Sans"/>
                    <w:noProof/>
                    <w:webHidden/>
                  </w:rPr>
                  <w:fldChar w:fldCharType="end"/>
                </w:r>
              </w:hyperlink>
            </w:p>
            <w:p w14:paraId="027C8BB3" w14:textId="20F175F1" w:rsidR="009D30E3" w:rsidRPr="009D30E3" w:rsidRDefault="009D30E3">
              <w:pPr>
                <w:pStyle w:val="TOC1"/>
                <w:rPr>
                  <w:rFonts w:ascii="DM Sans" w:hAnsi="DM Sans"/>
                  <w:noProof/>
                  <w:color w:val="auto"/>
                  <w:kern w:val="2"/>
                  <w:sz w:val="24"/>
                  <w:szCs w:val="24"/>
                  <w:lang w:eastAsia="en-AU"/>
                  <w14:ligatures w14:val="standardContextual"/>
                </w:rPr>
              </w:pPr>
              <w:hyperlink w:anchor="_Toc240894250" w:history="1">
                <w:r w:rsidRPr="009D30E3">
                  <w:rPr>
                    <w:rStyle w:val="Hyperlink"/>
                    <w:rFonts w:ascii="DM Sans" w:hAnsi="DM Sans"/>
                    <w:noProof/>
                  </w:rPr>
                  <w:t>Purpose and Application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_Toc240894250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3</w:t>
                </w:r>
                <w:r w:rsidRPr="009D30E3">
                  <w:rPr>
                    <w:rFonts w:ascii="DM Sans" w:hAnsi="DM Sans"/>
                    <w:noProof/>
                    <w:webHidden/>
                  </w:rPr>
                  <w:fldChar w:fldCharType="end"/>
                </w:r>
              </w:hyperlink>
            </w:p>
            <w:p w14:paraId="7F0807E6" w14:textId="2B51D3D7" w:rsidR="009D30E3" w:rsidRPr="009D30E3" w:rsidRDefault="009D30E3">
              <w:pPr>
                <w:pStyle w:val="TOC1"/>
                <w:rPr>
                  <w:rFonts w:ascii="DM Sans" w:hAnsi="DM Sans"/>
                  <w:noProof/>
                  <w:color w:val="auto"/>
                  <w:kern w:val="2"/>
                  <w:sz w:val="24"/>
                  <w:szCs w:val="24"/>
                  <w:lang w:eastAsia="en-AU"/>
                  <w14:ligatures w14:val="standardContextual"/>
                </w:rPr>
              </w:pPr>
              <w:hyperlink w:anchor="_Toc240894251" w:history="1">
                <w:r w:rsidRPr="009D30E3">
                  <w:rPr>
                    <w:rStyle w:val="Hyperlink"/>
                    <w:rFonts w:ascii="DM Sans" w:hAnsi="DM Sans"/>
                    <w:noProof/>
                  </w:rPr>
                  <w:t>Understanding Family Violence Against People with Disabilities</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_Toc240894251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3</w:t>
                </w:r>
                <w:r w:rsidRPr="009D30E3">
                  <w:rPr>
                    <w:rFonts w:ascii="DM Sans" w:hAnsi="DM Sans"/>
                    <w:noProof/>
                    <w:webHidden/>
                  </w:rPr>
                  <w:fldChar w:fldCharType="end"/>
                </w:r>
              </w:hyperlink>
            </w:p>
            <w:p w14:paraId="7223F365" w14:textId="01222FDD" w:rsidR="009D30E3" w:rsidRPr="009D30E3" w:rsidRDefault="009D30E3">
              <w:pPr>
                <w:pStyle w:val="TOC1"/>
                <w:rPr>
                  <w:rFonts w:ascii="DM Sans" w:hAnsi="DM Sans"/>
                  <w:noProof/>
                  <w:color w:val="auto"/>
                  <w:kern w:val="2"/>
                  <w:sz w:val="24"/>
                  <w:szCs w:val="24"/>
                  <w:lang w:eastAsia="en-AU"/>
                  <w14:ligatures w14:val="standardContextual"/>
                </w:rPr>
              </w:pPr>
              <w:hyperlink w:anchor="_Toc240894252" w:history="1">
                <w:r w:rsidRPr="009D30E3">
                  <w:rPr>
                    <w:rStyle w:val="Hyperlink"/>
                    <w:rFonts w:ascii="DM Sans" w:hAnsi="DM Sans"/>
                    <w:noProof/>
                  </w:rPr>
                  <w:t>Disability-Based Abuse: A Distinct Form of Violence</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_Toc240894252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5</w:t>
                </w:r>
                <w:r w:rsidRPr="009D30E3">
                  <w:rPr>
                    <w:rFonts w:ascii="DM Sans" w:hAnsi="DM Sans"/>
                    <w:noProof/>
                    <w:webHidden/>
                  </w:rPr>
                  <w:fldChar w:fldCharType="end"/>
                </w:r>
              </w:hyperlink>
            </w:p>
            <w:p w14:paraId="683D6FBC" w14:textId="763FC276" w:rsidR="009D30E3" w:rsidRPr="009D30E3" w:rsidRDefault="009D30E3">
              <w:pPr>
                <w:pStyle w:val="TOC1"/>
                <w:rPr>
                  <w:rFonts w:ascii="DM Sans" w:hAnsi="DM Sans"/>
                  <w:noProof/>
                  <w:color w:val="auto"/>
                  <w:kern w:val="2"/>
                  <w:sz w:val="24"/>
                  <w:szCs w:val="24"/>
                  <w:lang w:eastAsia="en-AU"/>
                  <w14:ligatures w14:val="standardContextual"/>
                </w:rPr>
              </w:pPr>
              <w:hyperlink w:anchor="_Toc240894253" w:history="1">
                <w:r w:rsidRPr="009D30E3">
                  <w:rPr>
                    <w:rStyle w:val="Hyperlink"/>
                    <w:rFonts w:ascii="DM Sans" w:hAnsi="DM Sans"/>
                    <w:noProof/>
                  </w:rPr>
                  <w:t>How Violence is Framed as Care</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_Toc240894253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5</w:t>
                </w:r>
                <w:r w:rsidRPr="009D30E3">
                  <w:rPr>
                    <w:rFonts w:ascii="DM Sans" w:hAnsi="DM Sans"/>
                    <w:noProof/>
                    <w:webHidden/>
                  </w:rPr>
                  <w:fldChar w:fldCharType="end"/>
                </w:r>
              </w:hyperlink>
            </w:p>
            <w:p w14:paraId="17F47DDB" w14:textId="2C572F4D" w:rsidR="009D30E3" w:rsidRPr="009D30E3" w:rsidRDefault="009D30E3">
              <w:pPr>
                <w:pStyle w:val="TOC1"/>
                <w:rPr>
                  <w:rFonts w:ascii="DM Sans" w:hAnsi="DM Sans"/>
                  <w:noProof/>
                  <w:color w:val="auto"/>
                  <w:kern w:val="2"/>
                  <w:sz w:val="24"/>
                  <w:szCs w:val="24"/>
                  <w:lang w:eastAsia="en-AU"/>
                  <w14:ligatures w14:val="standardContextual"/>
                </w:rPr>
              </w:pPr>
              <w:hyperlink w:anchor="_Toc240894254" w:history="1">
                <w:r w:rsidRPr="009D30E3">
                  <w:rPr>
                    <w:rStyle w:val="Hyperlink"/>
                    <w:rFonts w:ascii="DM Sans" w:hAnsi="DM Sans"/>
                    <w:noProof/>
                  </w:rPr>
                  <w:t>Assessment Approach</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_Toc240894254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6</w:t>
                </w:r>
                <w:r w:rsidRPr="009D30E3">
                  <w:rPr>
                    <w:rFonts w:ascii="DM Sans" w:hAnsi="DM Sans"/>
                    <w:noProof/>
                    <w:webHidden/>
                  </w:rPr>
                  <w:fldChar w:fldCharType="end"/>
                </w:r>
              </w:hyperlink>
            </w:p>
            <w:p w14:paraId="198CE605" w14:textId="5081FF80" w:rsidR="009D30E3" w:rsidRPr="009D30E3" w:rsidRDefault="009D30E3">
              <w:pPr>
                <w:pStyle w:val="TOC1"/>
                <w:rPr>
                  <w:rFonts w:ascii="DM Sans" w:hAnsi="DM Sans"/>
                  <w:noProof/>
                  <w:color w:val="auto"/>
                  <w:kern w:val="2"/>
                  <w:sz w:val="24"/>
                  <w:szCs w:val="24"/>
                  <w:lang w:eastAsia="en-AU"/>
                  <w14:ligatures w14:val="standardContextual"/>
                </w:rPr>
              </w:pPr>
              <w:hyperlink w:anchor="_Toc240894255" w:history="1">
                <w:r w:rsidRPr="009D30E3">
                  <w:rPr>
                    <w:rStyle w:val="Hyperlink"/>
                    <w:rFonts w:ascii="DM Sans" w:hAnsi="DM Sans"/>
                    <w:noProof/>
                  </w:rPr>
                  <w:t>Risk Factors Relevant to an Adult Victim Survivor’s Circumstances  Financial Abuse/Difficulties</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_Toc240894255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9</w:t>
                </w:r>
                <w:r w:rsidRPr="009D30E3">
                  <w:rPr>
                    <w:rFonts w:ascii="DM Sans" w:hAnsi="DM Sans"/>
                    <w:noProof/>
                    <w:webHidden/>
                  </w:rPr>
                  <w:fldChar w:fldCharType="end"/>
                </w:r>
              </w:hyperlink>
            </w:p>
            <w:p w14:paraId="4D610EC7" w14:textId="2A51B6F9"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56" w:history="1">
                <w:r w:rsidRPr="009D30E3">
                  <w:rPr>
                    <w:rStyle w:val="Hyperlink"/>
                    <w:rFonts w:ascii="DM Sans" w:hAnsi="DM Sans"/>
                    <w:noProof/>
                  </w:rPr>
                  <w:t>NDIS Funding Exploitation and Control</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_Toc240894256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9</w:t>
                </w:r>
                <w:r w:rsidRPr="009D30E3">
                  <w:rPr>
                    <w:rFonts w:ascii="DM Sans" w:hAnsi="DM Sans"/>
                    <w:noProof/>
                    <w:webHidden/>
                  </w:rPr>
                  <w:fldChar w:fldCharType="end"/>
                </w:r>
              </w:hyperlink>
            </w:p>
            <w:p w14:paraId="1F80D4A4" w14:textId="442213A8"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57" w:history="1">
                <w:r w:rsidRPr="009D30E3">
                  <w:rPr>
                    <w:rStyle w:val="Hyperlink"/>
                    <w:rFonts w:ascii="DM Sans" w:hAnsi="DM Sans"/>
                    <w:noProof/>
                  </w:rPr>
                  <w:t>Disability Support Pension (DSP) and Centrelink Control</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_Toc240894257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10</w:t>
                </w:r>
                <w:r w:rsidRPr="009D30E3">
                  <w:rPr>
                    <w:rFonts w:ascii="DM Sans" w:hAnsi="DM Sans"/>
                    <w:noProof/>
                    <w:webHidden/>
                  </w:rPr>
                  <w:fldChar w:fldCharType="end"/>
                </w:r>
              </w:hyperlink>
            </w:p>
            <w:p w14:paraId="2C6A6415" w14:textId="6E34D201"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58" w:history="1">
                <w:r w:rsidRPr="009D30E3">
                  <w:rPr>
                    <w:rStyle w:val="Hyperlink"/>
                    <w:rFonts w:ascii="DM Sans" w:hAnsi="DM Sans"/>
                    <w:noProof/>
                  </w:rPr>
                  <w:t>Carer Payment Weaponisation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_Toc240894258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11</w:t>
                </w:r>
                <w:r w:rsidRPr="009D30E3">
                  <w:rPr>
                    <w:rFonts w:ascii="DM Sans" w:hAnsi="DM Sans"/>
                    <w:noProof/>
                    <w:webHidden/>
                  </w:rPr>
                  <w:fldChar w:fldCharType="end"/>
                </w:r>
              </w:hyperlink>
            </w:p>
            <w:p w14:paraId="088E3E91" w14:textId="14447CB4" w:rsidR="009D30E3" w:rsidRPr="009D30E3" w:rsidRDefault="009D30E3">
              <w:pPr>
                <w:pStyle w:val="TOC1"/>
                <w:rPr>
                  <w:rFonts w:ascii="DM Sans" w:hAnsi="DM Sans"/>
                  <w:noProof/>
                  <w:color w:val="auto"/>
                  <w:kern w:val="2"/>
                  <w:sz w:val="24"/>
                  <w:szCs w:val="24"/>
                  <w:lang w:eastAsia="en-AU"/>
                  <w14:ligatures w14:val="standardContextual"/>
                </w:rPr>
              </w:pPr>
              <w:hyperlink w:anchor="_Toc240894259" w:history="1">
                <w:r w:rsidRPr="009D30E3">
                  <w:rPr>
                    <w:rStyle w:val="Hyperlink"/>
                    <w:rFonts w:ascii="DM Sans" w:hAnsi="DM Sans"/>
                    <w:noProof/>
                  </w:rPr>
                  <w:t>Risk factors for adult or child victim survivors caused by perpetrator behaviours</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_Toc240894259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12</w:t>
                </w:r>
                <w:r w:rsidRPr="009D30E3">
                  <w:rPr>
                    <w:rFonts w:ascii="DM Sans" w:hAnsi="DM Sans"/>
                    <w:noProof/>
                    <w:webHidden/>
                  </w:rPr>
                  <w:fldChar w:fldCharType="end"/>
                </w:r>
              </w:hyperlink>
            </w:p>
            <w:p w14:paraId="5402F859" w14:textId="5A066798" w:rsidR="009D30E3" w:rsidRPr="009D30E3" w:rsidRDefault="009D30E3">
              <w:pPr>
                <w:pStyle w:val="TOC2"/>
                <w:tabs>
                  <w:tab w:val="right" w:leader="dot" w:pos="8749"/>
                </w:tabs>
                <w:rPr>
                  <w:rFonts w:ascii="DM Sans" w:hAnsi="DM Sans"/>
                  <w:noProof/>
                  <w:color w:val="auto"/>
                  <w:kern w:val="2"/>
                  <w:sz w:val="24"/>
                  <w:szCs w:val="24"/>
                  <w:lang w:eastAsia="en-AU"/>
                  <w14:ligatures w14:val="standardContextual"/>
                </w:rPr>
              </w:pPr>
              <w:hyperlink w:anchor="_Toc240894260" w:history="1">
                <w:r w:rsidRPr="009D30E3">
                  <w:rPr>
                    <w:rStyle w:val="Hyperlink"/>
                    <w:rFonts w:ascii="DM Sans" w:hAnsi="DM Sans"/>
                    <w:noProof/>
                  </w:rPr>
                  <w:t>Controlling Behaviours (serious risk factor)</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_Toc240894260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12</w:t>
                </w:r>
                <w:r w:rsidRPr="009D30E3">
                  <w:rPr>
                    <w:rFonts w:ascii="DM Sans" w:hAnsi="DM Sans"/>
                    <w:noProof/>
                    <w:webHidden/>
                  </w:rPr>
                  <w:fldChar w:fldCharType="end"/>
                </w:r>
              </w:hyperlink>
            </w:p>
            <w:p w14:paraId="10FE469A" w14:textId="0548927C"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61" w:history="1">
                <w:r w:rsidRPr="009D30E3">
                  <w:rPr>
                    <w:rStyle w:val="Hyperlink"/>
                    <w:rFonts w:ascii="DM Sans" w:hAnsi="DM Sans"/>
                    <w:noProof/>
                  </w:rPr>
                  <w:t>Restrictive Practices</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_Toc240894261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12</w:t>
                </w:r>
                <w:r w:rsidRPr="009D30E3">
                  <w:rPr>
                    <w:rFonts w:ascii="DM Sans" w:hAnsi="DM Sans"/>
                    <w:noProof/>
                    <w:webHidden/>
                  </w:rPr>
                  <w:fldChar w:fldCharType="end"/>
                </w:r>
              </w:hyperlink>
            </w:p>
            <w:p w14:paraId="05E73460" w14:textId="4123B9AA"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62" w:history="1">
                <w:r w:rsidRPr="009D30E3">
                  <w:rPr>
                    <w:rStyle w:val="Hyperlink"/>
                    <w:rFonts w:ascii="DM Sans" w:hAnsi="DM Sans"/>
                    <w:noProof/>
                  </w:rPr>
                  <w:t>Medical exploitation and control</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_Toc240894262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13</w:t>
                </w:r>
                <w:r w:rsidRPr="009D30E3">
                  <w:rPr>
                    <w:rFonts w:ascii="DM Sans" w:hAnsi="DM Sans"/>
                    <w:noProof/>
                    <w:webHidden/>
                  </w:rPr>
                  <w:fldChar w:fldCharType="end"/>
                </w:r>
              </w:hyperlink>
            </w:p>
            <w:p w14:paraId="11D103B8" w14:textId="326AF99F"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63" w:history="1">
                <w:r w:rsidRPr="009D30E3">
                  <w:rPr>
                    <w:rStyle w:val="Hyperlink"/>
                    <w:rFonts w:ascii="DM Sans" w:hAnsi="DM Sans"/>
                    <w:noProof/>
                  </w:rPr>
                  <w:t>Reproductive Coercion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_Toc240894263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14</w:t>
                </w:r>
                <w:r w:rsidRPr="009D30E3">
                  <w:rPr>
                    <w:rFonts w:ascii="DM Sans" w:hAnsi="DM Sans"/>
                    <w:noProof/>
                    <w:webHidden/>
                  </w:rPr>
                  <w:fldChar w:fldCharType="end"/>
                </w:r>
              </w:hyperlink>
            </w:p>
            <w:p w14:paraId="1A887034" w14:textId="3B9BF1CC"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64" w:history="1">
                <w:r w:rsidRPr="009D30E3">
                  <w:rPr>
                    <w:rStyle w:val="Hyperlink"/>
                    <w:rFonts w:ascii="DM Sans" w:hAnsi="DM Sans"/>
                    <w:noProof/>
                  </w:rPr>
                  <w:t>Weaponising Child Protection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_Toc240894264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15</w:t>
                </w:r>
                <w:r w:rsidRPr="009D30E3">
                  <w:rPr>
                    <w:rFonts w:ascii="DM Sans" w:hAnsi="DM Sans"/>
                    <w:noProof/>
                    <w:webHidden/>
                  </w:rPr>
                  <w:fldChar w:fldCharType="end"/>
                </w:r>
              </w:hyperlink>
            </w:p>
            <w:p w14:paraId="7F4543DE" w14:textId="274DA9F0" w:rsidR="009D30E3" w:rsidRPr="009D30E3" w:rsidRDefault="009D30E3">
              <w:pPr>
                <w:pStyle w:val="TOC1"/>
                <w:rPr>
                  <w:rFonts w:ascii="DM Sans" w:hAnsi="DM Sans"/>
                  <w:noProof/>
                  <w:color w:val="auto"/>
                  <w:kern w:val="2"/>
                  <w:sz w:val="24"/>
                  <w:szCs w:val="24"/>
                  <w:lang w:eastAsia="en-AU"/>
                  <w14:ligatures w14:val="standardContextual"/>
                </w:rPr>
              </w:pPr>
              <w:hyperlink w:anchor="_Toc240894265" w:history="1">
                <w:r w:rsidRPr="009D30E3">
                  <w:rPr>
                    <w:rStyle w:val="Hyperlink"/>
                    <w:rFonts w:ascii="DM Sans" w:hAnsi="DM Sans"/>
                    <w:noProof/>
                  </w:rPr>
                  <w:t>Risk factors for adult or child victim survivors caused by perpetrator behaviours</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_Toc240894265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17</w:t>
                </w:r>
                <w:r w:rsidRPr="009D30E3">
                  <w:rPr>
                    <w:rFonts w:ascii="DM Sans" w:hAnsi="DM Sans"/>
                    <w:noProof/>
                    <w:webHidden/>
                  </w:rPr>
                  <w:fldChar w:fldCharType="end"/>
                </w:r>
              </w:hyperlink>
            </w:p>
            <w:p w14:paraId="1F4998B5" w14:textId="7F3EADDF" w:rsidR="009D30E3" w:rsidRPr="009D30E3" w:rsidRDefault="009D30E3">
              <w:pPr>
                <w:pStyle w:val="TOC2"/>
                <w:tabs>
                  <w:tab w:val="right" w:leader="dot" w:pos="8749"/>
                </w:tabs>
                <w:rPr>
                  <w:rFonts w:ascii="DM Sans" w:hAnsi="DM Sans"/>
                  <w:noProof/>
                  <w:color w:val="auto"/>
                  <w:kern w:val="2"/>
                  <w:sz w:val="24"/>
                  <w:szCs w:val="24"/>
                  <w:lang w:eastAsia="en-AU"/>
                  <w14:ligatures w14:val="standardContextual"/>
                </w:rPr>
              </w:pPr>
              <w:hyperlink w:anchor="_Toc240894266" w:history="1">
                <w:r w:rsidRPr="009D30E3">
                  <w:rPr>
                    <w:rStyle w:val="Hyperlink"/>
                    <w:rFonts w:ascii="DM Sans" w:hAnsi="DM Sans"/>
                    <w:noProof/>
                  </w:rPr>
                  <w:t>Emotional Abuse</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_Toc240894266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17</w:t>
                </w:r>
                <w:r w:rsidRPr="009D30E3">
                  <w:rPr>
                    <w:rFonts w:ascii="DM Sans" w:hAnsi="DM Sans"/>
                    <w:noProof/>
                    <w:webHidden/>
                  </w:rPr>
                  <w:fldChar w:fldCharType="end"/>
                </w:r>
              </w:hyperlink>
            </w:p>
            <w:p w14:paraId="6574115F" w14:textId="212173F4"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67" w:history="1">
                <w:r w:rsidRPr="009D30E3">
                  <w:rPr>
                    <w:rStyle w:val="Hyperlink"/>
                    <w:rFonts w:ascii="DM Sans" w:hAnsi="DM Sans"/>
                    <w:noProof/>
                  </w:rPr>
                  <w:t>Threats of Institutionalisation and Psychological Control</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_Toc240894267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17</w:t>
                </w:r>
                <w:r w:rsidRPr="009D30E3">
                  <w:rPr>
                    <w:rFonts w:ascii="DM Sans" w:hAnsi="DM Sans"/>
                    <w:noProof/>
                    <w:webHidden/>
                  </w:rPr>
                  <w:fldChar w:fldCharType="end"/>
                </w:r>
              </w:hyperlink>
            </w:p>
            <w:p w14:paraId="30CB5D81" w14:textId="4E982B4D"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68" w:history="1">
                <w:r w:rsidRPr="009D30E3">
                  <w:rPr>
                    <w:rStyle w:val="Hyperlink"/>
                    <w:rFonts w:ascii="DM Sans" w:hAnsi="DM Sans"/>
                    <w:noProof/>
                  </w:rPr>
                  <w:t>Undermining and Gaslighting</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_Toc240894268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18</w:t>
                </w:r>
                <w:r w:rsidRPr="009D30E3">
                  <w:rPr>
                    <w:rFonts w:ascii="DM Sans" w:hAnsi="DM Sans"/>
                    <w:noProof/>
                    <w:webHidden/>
                  </w:rPr>
                  <w:fldChar w:fldCharType="end"/>
                </w:r>
              </w:hyperlink>
            </w:p>
            <w:p w14:paraId="04CED83D" w14:textId="367F39E1" w:rsidR="009D30E3" w:rsidRPr="009D30E3" w:rsidRDefault="009D30E3">
              <w:pPr>
                <w:pStyle w:val="TOC2"/>
                <w:tabs>
                  <w:tab w:val="right" w:leader="dot" w:pos="8749"/>
                </w:tabs>
                <w:rPr>
                  <w:rFonts w:ascii="DM Sans" w:hAnsi="DM Sans"/>
                  <w:noProof/>
                  <w:color w:val="auto"/>
                  <w:kern w:val="2"/>
                  <w:sz w:val="24"/>
                  <w:szCs w:val="24"/>
                  <w:lang w:eastAsia="en-AU"/>
                  <w14:ligatures w14:val="standardContextual"/>
                </w:rPr>
              </w:pPr>
              <w:hyperlink w:anchor="_Toc240894269" w:history="1">
                <w:r w:rsidRPr="009D30E3">
                  <w:rPr>
                    <w:rStyle w:val="Hyperlink"/>
                    <w:rFonts w:ascii="DM Sans" w:hAnsi="DM Sans"/>
                    <w:noProof/>
                  </w:rPr>
                  <w:t>Isolation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_Toc240894269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19</w:t>
                </w:r>
                <w:r w:rsidRPr="009D30E3">
                  <w:rPr>
                    <w:rFonts w:ascii="DM Sans" w:hAnsi="DM Sans"/>
                    <w:noProof/>
                    <w:webHidden/>
                  </w:rPr>
                  <w:fldChar w:fldCharType="end"/>
                </w:r>
              </w:hyperlink>
            </w:p>
            <w:p w14:paraId="0E4A3C62" w14:textId="2044E7B1"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70" w:history="1">
                <w:r w:rsidRPr="009D30E3">
                  <w:rPr>
                    <w:rStyle w:val="Hyperlink"/>
                    <w:rFonts w:ascii="DM Sans" w:hAnsi="DM Sans"/>
                    <w:noProof/>
                  </w:rPr>
                  <w:t>Social and Community Isolation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_Toc240894270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19</w:t>
                </w:r>
                <w:r w:rsidRPr="009D30E3">
                  <w:rPr>
                    <w:rFonts w:ascii="DM Sans" w:hAnsi="DM Sans"/>
                    <w:noProof/>
                    <w:webHidden/>
                  </w:rPr>
                  <w:fldChar w:fldCharType="end"/>
                </w:r>
              </w:hyperlink>
            </w:p>
            <w:p w14:paraId="50FB331F" w14:textId="5D16A354"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71" w:history="1">
                <w:r w:rsidRPr="009D30E3">
                  <w:rPr>
                    <w:rStyle w:val="Hyperlink"/>
                    <w:rFonts w:ascii="DM Sans" w:hAnsi="DM Sans"/>
                    <w:noProof/>
                  </w:rPr>
                  <w:t>Communication-Based Isolation</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_Toc240894271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20</w:t>
                </w:r>
                <w:r w:rsidRPr="009D30E3">
                  <w:rPr>
                    <w:rFonts w:ascii="DM Sans" w:hAnsi="DM Sans"/>
                    <w:noProof/>
                    <w:webHidden/>
                  </w:rPr>
                  <w:fldChar w:fldCharType="end"/>
                </w:r>
              </w:hyperlink>
            </w:p>
            <w:p w14:paraId="4FE51CF4" w14:textId="259EEE04" w:rsidR="009D30E3" w:rsidRPr="009D30E3" w:rsidRDefault="009D30E3">
              <w:pPr>
                <w:pStyle w:val="TOC2"/>
                <w:tabs>
                  <w:tab w:val="right" w:leader="dot" w:pos="8749"/>
                </w:tabs>
                <w:rPr>
                  <w:rFonts w:ascii="DM Sans" w:hAnsi="DM Sans"/>
                  <w:noProof/>
                  <w:color w:val="auto"/>
                  <w:kern w:val="2"/>
                  <w:sz w:val="24"/>
                  <w:szCs w:val="24"/>
                  <w:lang w:eastAsia="en-AU"/>
                  <w14:ligatures w14:val="standardContextual"/>
                </w:rPr>
              </w:pPr>
              <w:hyperlink w:anchor="_Toc240894272" w:history="1">
                <w:r w:rsidRPr="009D30E3">
                  <w:rPr>
                    <w:rStyle w:val="Hyperlink"/>
                    <w:rFonts w:ascii="DM Sans" w:hAnsi="DM Sans"/>
                    <w:noProof/>
                  </w:rPr>
                  <w:t>Sexual Assault (serious risk factor)</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_Toc240894272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21</w:t>
                </w:r>
                <w:r w:rsidRPr="009D30E3">
                  <w:rPr>
                    <w:rFonts w:ascii="DM Sans" w:hAnsi="DM Sans"/>
                    <w:noProof/>
                    <w:webHidden/>
                  </w:rPr>
                  <w:fldChar w:fldCharType="end"/>
                </w:r>
              </w:hyperlink>
            </w:p>
            <w:p w14:paraId="23949DAD" w14:textId="5B5B8428"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73" w:history="1">
                <w:r w:rsidRPr="009D30E3">
                  <w:rPr>
                    <w:rStyle w:val="Hyperlink"/>
                    <w:rFonts w:ascii="DM Sans" w:hAnsi="DM Sans"/>
                    <w:noProof/>
                  </w:rPr>
                  <w:t>Sexual Violence</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_Toc240894273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21</w:t>
                </w:r>
                <w:r w:rsidRPr="009D30E3">
                  <w:rPr>
                    <w:rFonts w:ascii="DM Sans" w:hAnsi="DM Sans"/>
                    <w:noProof/>
                    <w:webHidden/>
                  </w:rPr>
                  <w:fldChar w:fldCharType="end"/>
                </w:r>
              </w:hyperlink>
            </w:p>
            <w:p w14:paraId="1771B1F1" w14:textId="04A58670" w:rsidR="009D30E3" w:rsidRPr="009D30E3" w:rsidRDefault="009D30E3">
              <w:pPr>
                <w:pStyle w:val="TOC2"/>
                <w:tabs>
                  <w:tab w:val="right" w:leader="dot" w:pos="8749"/>
                </w:tabs>
                <w:rPr>
                  <w:rFonts w:ascii="DM Sans" w:hAnsi="DM Sans"/>
                  <w:noProof/>
                  <w:color w:val="auto"/>
                  <w:kern w:val="2"/>
                  <w:sz w:val="24"/>
                  <w:szCs w:val="24"/>
                  <w:lang w:eastAsia="en-AU"/>
                  <w14:ligatures w14:val="standardContextual"/>
                </w:rPr>
              </w:pPr>
              <w:hyperlink w:anchor="_Toc240894274" w:history="1">
                <w:r w:rsidRPr="009D30E3">
                  <w:rPr>
                    <w:rStyle w:val="Hyperlink"/>
                    <w:rFonts w:ascii="DM Sans" w:hAnsi="DM Sans"/>
                    <w:noProof/>
                  </w:rPr>
                  <w:t>Stalking (serious risk factor)</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_Toc240894274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23</w:t>
                </w:r>
                <w:r w:rsidRPr="009D30E3">
                  <w:rPr>
                    <w:rFonts w:ascii="DM Sans" w:hAnsi="DM Sans"/>
                    <w:noProof/>
                    <w:webHidden/>
                  </w:rPr>
                  <w:fldChar w:fldCharType="end"/>
                </w:r>
              </w:hyperlink>
            </w:p>
            <w:p w14:paraId="7FC437F3" w14:textId="285A8756" w:rsidR="009D30E3" w:rsidRPr="009D30E3" w:rsidRDefault="009D30E3">
              <w:pPr>
                <w:pStyle w:val="TOC3"/>
                <w:tabs>
                  <w:tab w:val="right" w:leader="dot" w:pos="8749"/>
                </w:tabs>
                <w:rPr>
                  <w:rFonts w:ascii="DM Sans" w:hAnsi="DM Sans"/>
                  <w:noProof/>
                  <w:color w:val="auto"/>
                  <w:kern w:val="2"/>
                  <w:sz w:val="24"/>
                  <w:szCs w:val="24"/>
                  <w:lang w:eastAsia="en-AU"/>
                  <w14:ligatures w14:val="standardContextual"/>
                </w:rPr>
              </w:pPr>
              <w:hyperlink w:anchor="_Toc240894275" w:history="1">
                <w:r w:rsidRPr="009D30E3">
                  <w:rPr>
                    <w:rStyle w:val="Hyperlink"/>
                    <w:rFonts w:ascii="DM Sans" w:hAnsi="DM Sans"/>
                    <w:noProof/>
                  </w:rPr>
                  <w:t>Technology-facilitated abuse</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_Toc240894275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23</w:t>
                </w:r>
                <w:r w:rsidRPr="009D30E3">
                  <w:rPr>
                    <w:rFonts w:ascii="DM Sans" w:hAnsi="DM Sans"/>
                    <w:noProof/>
                    <w:webHidden/>
                  </w:rPr>
                  <w:fldChar w:fldCharType="end"/>
                </w:r>
              </w:hyperlink>
            </w:p>
            <w:p w14:paraId="25A35778" w14:textId="030B813F" w:rsidR="009D30E3" w:rsidRPr="009D30E3" w:rsidRDefault="009D30E3">
              <w:pPr>
                <w:pStyle w:val="TOC1"/>
                <w:rPr>
                  <w:rFonts w:ascii="DM Sans" w:hAnsi="DM Sans"/>
                  <w:noProof/>
                  <w:color w:val="auto"/>
                  <w:kern w:val="2"/>
                  <w:sz w:val="24"/>
                  <w:szCs w:val="24"/>
                  <w:lang w:eastAsia="en-AU"/>
                  <w14:ligatures w14:val="standardContextual"/>
                </w:rPr>
              </w:pPr>
              <w:hyperlink w:anchor="_Toc240894276" w:history="1">
                <w:r w:rsidRPr="009D30E3">
                  <w:rPr>
                    <w:rStyle w:val="Hyperlink"/>
                    <w:rFonts w:ascii="DM Sans" w:hAnsi="DM Sans"/>
                    <w:noProof/>
                  </w:rPr>
                  <w:t>Bibliography</w:t>
                </w:r>
                <w:r w:rsidRPr="009D30E3">
                  <w:rPr>
                    <w:rFonts w:ascii="DM Sans" w:hAnsi="DM Sans"/>
                    <w:noProof/>
                    <w:webHidden/>
                  </w:rPr>
                  <w:tab/>
                </w:r>
                <w:r w:rsidRPr="009D30E3">
                  <w:rPr>
                    <w:rFonts w:ascii="DM Sans" w:hAnsi="DM Sans"/>
                    <w:noProof/>
                    <w:webHidden/>
                  </w:rPr>
                  <w:fldChar w:fldCharType="begin"/>
                </w:r>
                <w:r w:rsidRPr="009D30E3">
                  <w:rPr>
                    <w:rFonts w:ascii="DM Sans" w:hAnsi="DM Sans"/>
                    <w:noProof/>
                    <w:webHidden/>
                  </w:rPr>
                  <w:instrText xml:space="preserve"> PAGEREF _Toc240894276 \h </w:instrText>
                </w:r>
                <w:r w:rsidRPr="009D30E3">
                  <w:rPr>
                    <w:rFonts w:ascii="DM Sans" w:hAnsi="DM Sans"/>
                    <w:noProof/>
                    <w:webHidden/>
                  </w:rPr>
                </w:r>
                <w:r w:rsidRPr="009D30E3">
                  <w:rPr>
                    <w:rFonts w:ascii="DM Sans" w:hAnsi="DM Sans"/>
                    <w:noProof/>
                    <w:webHidden/>
                  </w:rPr>
                  <w:fldChar w:fldCharType="separate"/>
                </w:r>
                <w:r w:rsidRPr="009D30E3">
                  <w:rPr>
                    <w:rFonts w:ascii="DM Sans" w:hAnsi="DM Sans"/>
                    <w:noProof/>
                    <w:webHidden/>
                  </w:rPr>
                  <w:t>25</w:t>
                </w:r>
                <w:r w:rsidRPr="009D30E3">
                  <w:rPr>
                    <w:rFonts w:ascii="DM Sans" w:hAnsi="DM Sans"/>
                    <w:noProof/>
                    <w:webHidden/>
                  </w:rPr>
                  <w:fldChar w:fldCharType="end"/>
                </w:r>
              </w:hyperlink>
            </w:p>
            <w:p w14:paraId="65289F7A" w14:textId="065F698B" w:rsidR="009D30E3" w:rsidRPr="009D30E3" w:rsidRDefault="009D30E3">
              <w:pPr>
                <w:rPr>
                  <w:rFonts w:ascii="DM Sans" w:hAnsi="DM Sans"/>
                </w:rPr>
              </w:pPr>
              <w:r w:rsidRPr="009D30E3">
                <w:rPr>
                  <w:rFonts w:ascii="DM Sans" w:hAnsi="DM Sans"/>
                  <w:b/>
                  <w:bCs/>
                  <w:noProof/>
                </w:rPr>
                <w:fldChar w:fldCharType="end"/>
              </w:r>
            </w:p>
          </w:sdtContent>
        </w:sdt>
        <w:p w14:paraId="7D747AAF" w14:textId="45F6F9BA" w:rsidR="008C7EFA" w:rsidRPr="009D30E3" w:rsidRDefault="008C7EFA" w:rsidP="008C7EFA">
          <w:pPr>
            <w:pStyle w:val="Heading1"/>
            <w:rPr>
              <w:rFonts w:ascii="DM Sans" w:hAnsi="DM Sans"/>
            </w:rPr>
          </w:pPr>
          <w:bookmarkStart w:id="0" w:name="_Toc240894249"/>
          <w:r w:rsidRPr="009D30E3">
            <w:rPr>
              <w:rFonts w:ascii="DM Sans" w:hAnsi="DM Sans"/>
            </w:rPr>
            <w:t>Contributors</w:t>
          </w:r>
          <w:bookmarkEnd w:id="0"/>
        </w:p>
        <w:p w14:paraId="78938E9F" w14:textId="77777777" w:rsidR="008C7EFA" w:rsidRPr="009D30E3" w:rsidRDefault="008C7EFA" w:rsidP="008C7EFA">
          <w:pPr>
            <w:rPr>
              <w:rFonts w:ascii="DM Sans" w:hAnsi="DM Sans"/>
              <w:color w:val="auto"/>
            </w:rPr>
          </w:pPr>
          <w:r w:rsidRPr="009D30E3">
            <w:rPr>
              <w:rFonts w:ascii="DM Sans" w:hAnsi="DM Sans"/>
              <w:color w:val="auto"/>
            </w:rPr>
            <w:t>This resource is evidence-informed, drawing on both published research and the collective expertise of specialist services working with people with disabilities. This resource has been developed by Safe and Equal, with invaluable contributions from Women with Disabilities Victoria.</w:t>
          </w:r>
        </w:p>
        <w:p w14:paraId="2056AEAB" w14:textId="728B87E5" w:rsidR="008C7EFA" w:rsidRPr="009D30E3" w:rsidRDefault="008C7EFA" w:rsidP="008C7EFA">
          <w:pPr>
            <w:rPr>
              <w:rFonts w:ascii="DM Sans" w:hAnsi="DM Sans"/>
              <w:color w:val="auto"/>
            </w:rPr>
          </w:pPr>
          <w:r w:rsidRPr="009D30E3">
            <w:rPr>
              <w:rFonts w:ascii="DM Sans" w:hAnsi="DM Sans"/>
              <w:color w:val="auto"/>
            </w:rPr>
            <w:t xml:space="preserve">Safe and Equal </w:t>
          </w:r>
          <w:proofErr w:type="gramStart"/>
          <w:r w:rsidRPr="009D30E3">
            <w:rPr>
              <w:rFonts w:ascii="DM Sans" w:hAnsi="DM Sans"/>
              <w:color w:val="auto"/>
            </w:rPr>
            <w:t>acknowledges</w:t>
          </w:r>
          <w:proofErr w:type="gramEnd"/>
          <w:r w:rsidRPr="009D30E3">
            <w:rPr>
              <w:rFonts w:ascii="DM Sans" w:hAnsi="DM Sans"/>
              <w:color w:val="auto"/>
            </w:rPr>
            <w:t xml:space="preserve"> the support of the Victorian Government.</w:t>
          </w:r>
        </w:p>
        <w:p w14:paraId="4FD35E20" w14:textId="77777777" w:rsidR="008C7EFA" w:rsidRPr="009D30E3" w:rsidRDefault="008C7EFA" w:rsidP="008C7EFA">
          <w:pPr>
            <w:pStyle w:val="Heading1"/>
            <w:rPr>
              <w:rFonts w:ascii="DM Sans" w:hAnsi="DM Sans"/>
            </w:rPr>
          </w:pPr>
          <w:bookmarkStart w:id="1" w:name="_Toc240894250"/>
          <w:r w:rsidRPr="009D30E3">
            <w:rPr>
              <w:rFonts w:ascii="DM Sans" w:hAnsi="DM Sans"/>
            </w:rPr>
            <w:t>Purpose and Application</w:t>
          </w:r>
          <w:bookmarkEnd w:id="1"/>
        </w:p>
        <w:p w14:paraId="7ACECEE8" w14:textId="77777777" w:rsidR="008C7EFA" w:rsidRPr="009D30E3" w:rsidRDefault="008C7EFA" w:rsidP="008C7EFA">
          <w:pPr>
            <w:rPr>
              <w:rFonts w:ascii="DM Sans" w:hAnsi="DM Sans"/>
              <w:color w:val="auto"/>
            </w:rPr>
          </w:pPr>
          <w:r w:rsidRPr="009D30E3">
            <w:rPr>
              <w:rFonts w:ascii="DM Sans" w:hAnsi="DM Sans"/>
              <w:color w:val="auto"/>
            </w:rPr>
            <w:t xml:space="preserve">The </w:t>
          </w:r>
          <w:r w:rsidRPr="009D30E3">
            <w:rPr>
              <w:rFonts w:ascii="DM Sans" w:hAnsi="DM Sans"/>
              <w:i/>
              <w:iCs/>
              <w:color w:val="auto"/>
            </w:rPr>
            <w:t>Risk in Context</w:t>
          </w:r>
          <w:r w:rsidRPr="009D30E3">
            <w:rPr>
              <w:rFonts w:ascii="DM Sans" w:hAnsi="DM Sans"/>
              <w:color w:val="auto"/>
            </w:rPr>
            <w:t xml:space="preserve"> series supports practitioners to apply an intersectional lens when undertaking MARAM risk assessment, recognising that evidence-based risk factors may present or be experienced differently across diverse communities. Designed for practitioners working at the Intermediate and Comprehensive MARAM Responsibility Levels, this resource provides practical examples and guiding questions to inform Structured Professional Judgement, contextualising key evidence-based risk factors for victim survivors with disabilities. </w:t>
          </w:r>
        </w:p>
        <w:p w14:paraId="6AE49FF3" w14:textId="77777777" w:rsidR="008C7EFA" w:rsidRPr="009D30E3" w:rsidRDefault="008C7EFA" w:rsidP="008C7EFA">
          <w:pPr>
            <w:rPr>
              <w:rFonts w:ascii="DM Sans" w:hAnsi="DM Sans"/>
              <w:color w:val="auto"/>
            </w:rPr>
          </w:pPr>
          <w:r w:rsidRPr="009D30E3">
            <w:rPr>
              <w:rFonts w:ascii="DM Sans" w:hAnsi="DM Sans"/>
              <w:color w:val="auto"/>
            </w:rPr>
            <w:t>This guidance supports practitioners to recognise how established family violence risk factors may be shaped by disability, ableism, and the care relationship. These dynamics overlap and interact, and practitioners should consider which are relevant to each person's circumstances. The risk factors outlined are not exhaustive. They should be considered alongside broader MARAM practice guidance and risk assessment tools, recognising that victim survivors are the experts in their own experiences, relationships, and safety.</w:t>
          </w:r>
        </w:p>
        <w:p w14:paraId="5FD92F47" w14:textId="77777777" w:rsidR="008C7EFA" w:rsidRPr="009D30E3" w:rsidRDefault="008C7EFA" w:rsidP="008C7EFA">
          <w:pPr>
            <w:pStyle w:val="Heading1"/>
            <w:rPr>
              <w:rFonts w:ascii="DM Sans" w:hAnsi="DM Sans"/>
            </w:rPr>
          </w:pPr>
          <w:bookmarkStart w:id="2" w:name="_Toc240894251"/>
          <w:r w:rsidRPr="009D30E3">
            <w:rPr>
              <w:rFonts w:ascii="DM Sans" w:hAnsi="DM Sans"/>
            </w:rPr>
            <w:t>Understanding Family Violence Against People with Disabilities</w:t>
          </w:r>
          <w:bookmarkEnd w:id="2"/>
        </w:p>
        <w:p w14:paraId="29F79654" w14:textId="38EF4AF2" w:rsidR="008C7EFA" w:rsidRPr="009D30E3" w:rsidRDefault="008C7EFA" w:rsidP="008C7EFA">
          <w:pPr>
            <w:rPr>
              <w:rFonts w:ascii="DM Sans" w:hAnsi="DM Sans"/>
              <w:color w:val="auto"/>
            </w:rPr>
          </w:pPr>
          <w:r w:rsidRPr="009D30E3">
            <w:rPr>
              <w:rFonts w:ascii="DM Sans" w:hAnsi="DM Sans"/>
              <w:color w:val="auto"/>
            </w:rPr>
            <w:t xml:space="preserve">People with disabilities are a highly diverse group across age, cultural background, gender identity, sexuality, and disability type, and cannot be understood as a single, </w:t>
          </w:r>
          <w:r w:rsidRPr="009D30E3">
            <w:rPr>
              <w:rFonts w:ascii="DM Sans" w:hAnsi="DM Sans"/>
              <w:color w:val="auto"/>
            </w:rPr>
            <w:lastRenderedPageBreak/>
            <w:t>homogenous group. For some people, disability intersects with other marginalised identities - including Aboriginal and Torres Strait Islander identity, cultural and linguistic diversity, LGBTQIA+ identity, and migration status - in ways that compound both the risk of family violence and the barriers to disclosure and help seeking. This guidance recognises the strength and agency of people with disabilities while addressing how adults using family violence deliberately exploit ableism and systemic barriers as a sustained pattern of coercive control</w:t>
          </w:r>
          <w:r w:rsidRPr="009D30E3">
            <w:rPr>
              <w:rFonts w:ascii="DM Sans" w:hAnsi="DM Sans"/>
              <w:color w:val="auto"/>
            </w:rPr>
            <w:t>.</w:t>
          </w:r>
          <w:r w:rsidRPr="009D30E3">
            <w:rPr>
              <w:rStyle w:val="FootnoteReference"/>
              <w:rFonts w:ascii="DM Sans" w:hAnsi="DM Sans"/>
              <w:color w:val="auto"/>
            </w:rPr>
            <w:footnoteReference w:id="2"/>
          </w:r>
          <w:r w:rsidRPr="009D30E3">
            <w:rPr>
              <w:rFonts w:ascii="DM Sans" w:hAnsi="DM Sans"/>
              <w:color w:val="auto"/>
            </w:rPr>
            <w:t xml:space="preserve"> This guidance also recognises that people who are Deaf or hard of hearing, and who use </w:t>
          </w:r>
          <w:proofErr w:type="spellStart"/>
          <w:r w:rsidRPr="009D30E3">
            <w:rPr>
              <w:rFonts w:ascii="DM Sans" w:hAnsi="DM Sans"/>
              <w:color w:val="auto"/>
            </w:rPr>
            <w:t>Auslan</w:t>
          </w:r>
          <w:proofErr w:type="spellEnd"/>
          <w:r w:rsidRPr="009D30E3">
            <w:rPr>
              <w:rFonts w:ascii="DM Sans" w:hAnsi="DM Sans"/>
              <w:color w:val="auto"/>
            </w:rPr>
            <w:t xml:space="preserve"> or another sign language as their first language, share a distinct, rich culture and language. Many people in the Deaf community do not identify as people with </w:t>
          </w:r>
          <w:proofErr w:type="gramStart"/>
          <w:r w:rsidRPr="009D30E3">
            <w:rPr>
              <w:rFonts w:ascii="DM Sans" w:hAnsi="DM Sans"/>
              <w:color w:val="auto"/>
            </w:rPr>
            <w:t>disability, but</w:t>
          </w:r>
          <w:proofErr w:type="gramEnd"/>
          <w:r w:rsidRPr="009D30E3">
            <w:rPr>
              <w:rFonts w:ascii="DM Sans" w:hAnsi="DM Sans"/>
              <w:color w:val="auto"/>
            </w:rPr>
            <w:t xml:space="preserve"> understand themselves as a culturally and linguistically distinct group</w:t>
          </w:r>
          <w:r w:rsidRPr="009D30E3">
            <w:rPr>
              <w:rFonts w:ascii="DM Sans" w:hAnsi="DM Sans"/>
              <w:color w:val="auto"/>
            </w:rPr>
            <w:t>.</w:t>
          </w:r>
          <w:r w:rsidRPr="009D30E3">
            <w:rPr>
              <w:rStyle w:val="FootnoteReference"/>
              <w:rFonts w:ascii="DM Sans" w:hAnsi="DM Sans"/>
              <w:color w:val="auto"/>
            </w:rPr>
            <w:footnoteReference w:id="3"/>
          </w:r>
        </w:p>
        <w:p w14:paraId="1A4EDEB2" w14:textId="0868918B" w:rsidR="008C7EFA" w:rsidRPr="009D30E3" w:rsidRDefault="008C7EFA" w:rsidP="008C7EFA">
          <w:pPr>
            <w:rPr>
              <w:rFonts w:ascii="DM Sans" w:hAnsi="DM Sans"/>
              <w:color w:val="auto"/>
            </w:rPr>
          </w:pPr>
          <w:r w:rsidRPr="009D30E3">
            <w:rPr>
              <w:rFonts w:ascii="DM Sans" w:hAnsi="DM Sans"/>
              <w:color w:val="auto"/>
            </w:rPr>
            <w:t>Family violence disproportionately impacts people with disabilities due to a complex intersection of ableism, gender inequality, and systemic marginalisation that creates high levels of risk while simultaneously removing pathways to safety- normalising control, obscuring violence, and making it significantly harder for victim survivors to be believed, access support, or name their own experiences as family violence</w:t>
          </w:r>
          <w:r w:rsidRPr="009D30E3">
            <w:rPr>
              <w:rFonts w:ascii="DM Sans" w:hAnsi="DM Sans"/>
              <w:color w:val="auto"/>
            </w:rPr>
            <w:t>.</w:t>
          </w:r>
          <w:r w:rsidRPr="009D30E3">
            <w:rPr>
              <w:rStyle w:val="FootnoteReference"/>
              <w:rFonts w:ascii="DM Sans" w:hAnsi="DM Sans"/>
              <w:color w:val="auto"/>
            </w:rPr>
            <w:footnoteReference w:id="4"/>
          </w:r>
          <w:r w:rsidRPr="009D30E3">
            <w:rPr>
              <w:rFonts w:ascii="DM Sans" w:hAnsi="DM Sans"/>
              <w:color w:val="auto"/>
            </w:rPr>
            <w:t xml:space="preserve"> </w:t>
          </w:r>
          <w:r w:rsidRPr="009D30E3">
            <w:rPr>
              <w:rFonts w:ascii="DM Sans" w:hAnsi="DM Sans"/>
              <w:color w:val="auto"/>
            </w:rPr>
            <w:t>Nearly half of women with disability in Victoria have experienced family or domestic violence since age 15, substantially higher than the estimated 30% of women without disability</w:t>
          </w:r>
          <w:r w:rsidRPr="009D30E3">
            <w:rPr>
              <w:rFonts w:ascii="DM Sans" w:hAnsi="DM Sans"/>
              <w:color w:val="auto"/>
            </w:rPr>
            <w:t>.</w:t>
          </w:r>
          <w:r w:rsidRPr="009D30E3">
            <w:rPr>
              <w:rStyle w:val="FootnoteReference"/>
              <w:rFonts w:ascii="DM Sans" w:hAnsi="DM Sans"/>
              <w:color w:val="auto"/>
            </w:rPr>
            <w:footnoteReference w:id="5"/>
          </w:r>
          <w:r w:rsidRPr="009D30E3">
            <w:rPr>
              <w:rFonts w:ascii="DM Sans" w:hAnsi="DM Sans"/>
              <w:color w:val="auto"/>
            </w:rPr>
            <w:t xml:space="preserve">  People with disabilities nationally experience violence that is more frequent, prolonged, and involves multiple perpetrators across a range of contexts including intimate partners, family members, paid and unpaid carers, and disability or healthcare workers</w:t>
          </w:r>
          <w:r w:rsidRPr="009D30E3">
            <w:rPr>
              <w:rFonts w:ascii="DM Sans" w:hAnsi="DM Sans"/>
              <w:color w:val="auto"/>
            </w:rPr>
            <w:t>.</w:t>
          </w:r>
          <w:r w:rsidRPr="009D30E3">
            <w:rPr>
              <w:rStyle w:val="FootnoteReference"/>
              <w:rFonts w:ascii="DM Sans" w:hAnsi="DM Sans"/>
              <w:color w:val="auto"/>
            </w:rPr>
            <w:footnoteReference w:id="6"/>
          </w:r>
          <w:r w:rsidRPr="009D30E3">
            <w:rPr>
              <w:rFonts w:ascii="DM Sans" w:hAnsi="DM Sans"/>
              <w:color w:val="auto"/>
            </w:rPr>
            <w:t xml:space="preserve"> </w:t>
          </w:r>
        </w:p>
        <w:p w14:paraId="5EC225C2" w14:textId="6F794FC5" w:rsidR="008C7EFA" w:rsidRPr="009D30E3" w:rsidRDefault="008C7EFA" w:rsidP="008C7EFA">
          <w:pPr>
            <w:rPr>
              <w:rFonts w:ascii="DM Sans" w:hAnsi="DM Sans"/>
              <w:color w:val="auto"/>
            </w:rPr>
          </w:pPr>
          <w:r w:rsidRPr="009D30E3">
            <w:rPr>
              <w:rFonts w:ascii="DM Sans" w:hAnsi="DM Sans"/>
              <w:color w:val="auto"/>
            </w:rPr>
            <w:t>These conditions are shaped by Australia's history of forced institutionalisation, segregation, and systemic abuse, including widespread violence, neglect, and forced sterilisation</w:t>
          </w:r>
          <w:r w:rsidRPr="009D30E3">
            <w:rPr>
              <w:rFonts w:ascii="DM Sans" w:hAnsi="DM Sans"/>
              <w:color w:val="auto"/>
            </w:rPr>
            <w:t>.</w:t>
          </w:r>
          <w:r w:rsidRPr="009D30E3">
            <w:rPr>
              <w:rStyle w:val="FootnoteReference"/>
              <w:rFonts w:ascii="DM Sans" w:hAnsi="DM Sans"/>
              <w:color w:val="auto"/>
            </w:rPr>
            <w:footnoteReference w:id="7"/>
          </w:r>
          <w:r w:rsidRPr="009D30E3">
            <w:rPr>
              <w:rFonts w:ascii="DM Sans" w:hAnsi="DM Sans"/>
              <w:color w:val="auto"/>
            </w:rPr>
            <w:t xml:space="preserve"> Many victim survivors hold living memory of these experiences, and the Royal Commission documented that institutional violence continues today in contemporary residential care settings, group homes, and supported accommodation</w:t>
          </w:r>
          <w:r w:rsidR="004572BE" w:rsidRPr="009D30E3">
            <w:rPr>
              <w:rFonts w:ascii="DM Sans" w:hAnsi="DM Sans"/>
              <w:color w:val="auto"/>
            </w:rPr>
            <w:t>.</w:t>
          </w:r>
          <w:r w:rsidRPr="009D30E3">
            <w:rPr>
              <w:rStyle w:val="FootnoteReference"/>
              <w:rFonts w:ascii="DM Sans" w:hAnsi="DM Sans"/>
              <w:color w:val="auto"/>
            </w:rPr>
            <w:footnoteReference w:id="8"/>
          </w:r>
          <w:r w:rsidRPr="009D30E3">
            <w:rPr>
              <w:rFonts w:ascii="DM Sans" w:hAnsi="DM Sans"/>
              <w:color w:val="auto"/>
            </w:rPr>
            <w:t xml:space="preserve"> </w:t>
          </w:r>
        </w:p>
        <w:p w14:paraId="592F6E2C" w14:textId="4B5AC3E0" w:rsidR="008C7EFA" w:rsidRPr="009D30E3" w:rsidRDefault="008C7EFA" w:rsidP="008C7EFA">
          <w:pPr>
            <w:rPr>
              <w:rFonts w:ascii="DM Sans" w:hAnsi="DM Sans"/>
              <w:b/>
              <w:bCs/>
              <w:color w:val="auto"/>
            </w:rPr>
          </w:pPr>
          <w:r w:rsidRPr="009D30E3">
            <w:rPr>
              <w:rFonts w:ascii="DM Sans" w:hAnsi="DM Sans"/>
              <w:color w:val="auto"/>
            </w:rPr>
            <w:t xml:space="preserve">Adults using family violence deliberately </w:t>
          </w:r>
          <w:proofErr w:type="spellStart"/>
          <w:r w:rsidRPr="009D30E3">
            <w:rPr>
              <w:rFonts w:ascii="DM Sans" w:hAnsi="DM Sans"/>
              <w:color w:val="auto"/>
            </w:rPr>
            <w:t>weaponise</w:t>
          </w:r>
          <w:proofErr w:type="spellEnd"/>
          <w:r w:rsidRPr="009D30E3">
            <w:rPr>
              <w:rFonts w:ascii="DM Sans" w:hAnsi="DM Sans"/>
              <w:color w:val="auto"/>
            </w:rPr>
            <w:t xml:space="preserve"> the fear of institutionalisation, threatening placement or psychiatric hospitalisation as punishment and control</w:t>
          </w:r>
          <w:r w:rsidR="004572BE" w:rsidRPr="009D30E3">
            <w:rPr>
              <w:rFonts w:ascii="DM Sans" w:hAnsi="DM Sans"/>
              <w:color w:val="auto"/>
            </w:rPr>
            <w:t>.</w:t>
          </w:r>
          <w:r w:rsidRPr="009D30E3">
            <w:rPr>
              <w:rStyle w:val="FootnoteReference"/>
              <w:rFonts w:ascii="DM Sans" w:hAnsi="DM Sans"/>
              <w:color w:val="auto"/>
            </w:rPr>
            <w:footnoteReference w:id="9"/>
          </w:r>
          <w:r w:rsidRPr="009D30E3">
            <w:rPr>
              <w:rFonts w:ascii="DM Sans" w:hAnsi="DM Sans"/>
              <w:color w:val="auto"/>
            </w:rPr>
            <w:t xml:space="preserve"> Many people with disabilities have well founded reasons to anticipate that disclosure may not result in protection but in further loss of decision-making authority, home, </w:t>
          </w:r>
          <w:r w:rsidRPr="009D30E3">
            <w:rPr>
              <w:rFonts w:ascii="DM Sans" w:hAnsi="DM Sans"/>
              <w:color w:val="auto"/>
            </w:rPr>
            <w:lastRenderedPageBreak/>
            <w:t>community, and control over their own lives. In this context, the threat of institutionalisation functions as a uniquely powerful form of coercive control, grounded not in abstraction but in documented historical and contemporary harm.</w:t>
          </w:r>
        </w:p>
        <w:p w14:paraId="0BA28101" w14:textId="77777777" w:rsidR="008C7EFA" w:rsidRPr="009D30E3" w:rsidRDefault="008C7EFA" w:rsidP="008C7EFA">
          <w:pPr>
            <w:pStyle w:val="Heading1"/>
            <w:rPr>
              <w:rFonts w:ascii="DM Sans" w:hAnsi="DM Sans"/>
            </w:rPr>
          </w:pPr>
          <w:bookmarkStart w:id="3" w:name="_Toc240894252"/>
          <w:r w:rsidRPr="009D30E3">
            <w:rPr>
              <w:rFonts w:ascii="DM Sans" w:hAnsi="DM Sans"/>
            </w:rPr>
            <w:t>Disability-Based Abuse: A Distinct Form of Violence</w:t>
          </w:r>
          <w:bookmarkEnd w:id="3"/>
        </w:p>
        <w:p w14:paraId="743BAFDE" w14:textId="1253B056" w:rsidR="008C7EFA" w:rsidRPr="009D30E3" w:rsidRDefault="008C7EFA" w:rsidP="008C7EFA">
          <w:pPr>
            <w:rPr>
              <w:rFonts w:ascii="DM Sans" w:hAnsi="DM Sans"/>
              <w:color w:val="auto"/>
              <w:sz w:val="20"/>
              <w:szCs w:val="20"/>
            </w:rPr>
          </w:pPr>
          <w:r w:rsidRPr="009D30E3">
            <w:rPr>
              <w:rFonts w:ascii="DM Sans" w:hAnsi="DM Sans"/>
              <w:color w:val="auto"/>
            </w:rPr>
            <w:t>Disability-based abuse refers to patterns of violence in which an adult using family violence deliberately exploits a person's disability, related supports, or care systems to exert power and control</w:t>
          </w:r>
          <w:r w:rsidR="004572BE" w:rsidRPr="009D30E3">
            <w:rPr>
              <w:rFonts w:ascii="DM Sans" w:hAnsi="DM Sans"/>
              <w:color w:val="auto"/>
            </w:rPr>
            <w:t>.</w:t>
          </w:r>
          <w:r w:rsidRPr="009D30E3">
            <w:rPr>
              <w:rStyle w:val="FootnoteReference"/>
              <w:rFonts w:ascii="DM Sans" w:hAnsi="DM Sans"/>
              <w:color w:val="auto"/>
              <w:sz w:val="20"/>
              <w:szCs w:val="20"/>
            </w:rPr>
            <w:footnoteReference w:id="10"/>
          </w:r>
          <w:r w:rsidRPr="009D30E3">
            <w:rPr>
              <w:rFonts w:ascii="DM Sans" w:hAnsi="DM Sans"/>
              <w:color w:val="auto"/>
            </w:rPr>
            <w:t xml:space="preserve"> This form of violence targets fundamental aspects of autonomy and access to care, such as communication or mobility supports, medical needs, or disability funding, turning systems designed to promote independence and dignity into mechanisms of coercion and control</w:t>
          </w:r>
          <w:r w:rsidR="004572BE" w:rsidRPr="009D30E3">
            <w:rPr>
              <w:rFonts w:ascii="DM Sans" w:hAnsi="DM Sans"/>
              <w:color w:val="auto"/>
            </w:rPr>
            <w:t>.</w:t>
          </w:r>
          <w:r w:rsidRPr="009D30E3">
            <w:rPr>
              <w:rStyle w:val="FootnoteReference"/>
              <w:rFonts w:ascii="DM Sans" w:hAnsi="DM Sans"/>
              <w:color w:val="auto"/>
              <w:sz w:val="20"/>
              <w:szCs w:val="20"/>
            </w:rPr>
            <w:footnoteReference w:id="11"/>
          </w:r>
        </w:p>
        <w:p w14:paraId="30D6D3CE" w14:textId="2E383248" w:rsidR="008C7EFA" w:rsidRPr="009D30E3" w:rsidRDefault="008C7EFA" w:rsidP="008C7EFA">
          <w:pPr>
            <w:rPr>
              <w:rFonts w:ascii="DM Sans" w:hAnsi="DM Sans"/>
              <w:color w:val="auto"/>
              <w:sz w:val="20"/>
              <w:szCs w:val="20"/>
            </w:rPr>
          </w:pPr>
          <w:r w:rsidRPr="009D30E3">
            <w:rPr>
              <w:rFonts w:ascii="DM Sans" w:hAnsi="DM Sans"/>
              <w:color w:val="auto"/>
            </w:rPr>
            <w:t>While people with disabilities experience the same forms of family violence as those without disabilities, such as physical and sexual assault, they also face unique, disability-specific forms of abuse. These tactics are often hidden within the context of caregiving and are underpinned by ableist and sexist stereotype</w:t>
          </w:r>
          <w:r w:rsidR="004572BE" w:rsidRPr="009D30E3">
            <w:rPr>
              <w:rFonts w:ascii="DM Sans" w:hAnsi="DM Sans"/>
              <w:color w:val="auto"/>
            </w:rPr>
            <w:t>s.</w:t>
          </w:r>
          <w:r w:rsidRPr="009D30E3">
            <w:rPr>
              <w:rStyle w:val="FootnoteReference"/>
              <w:rFonts w:ascii="DM Sans" w:hAnsi="DM Sans"/>
              <w:color w:val="auto"/>
              <w:sz w:val="20"/>
              <w:szCs w:val="20"/>
            </w:rPr>
            <w:footnoteReference w:id="12"/>
          </w:r>
        </w:p>
        <w:p w14:paraId="3C885EED" w14:textId="0A82FB9F" w:rsidR="008C7EFA" w:rsidRPr="009D30E3" w:rsidRDefault="008C7EFA" w:rsidP="008C7EFA">
          <w:pPr>
            <w:rPr>
              <w:rFonts w:ascii="DM Sans" w:hAnsi="DM Sans"/>
              <w:color w:val="auto"/>
              <w:sz w:val="20"/>
              <w:szCs w:val="20"/>
            </w:rPr>
          </w:pPr>
          <w:r w:rsidRPr="009D30E3">
            <w:rPr>
              <w:rFonts w:ascii="DM Sans" w:hAnsi="DM Sans"/>
              <w:color w:val="auto"/>
            </w:rPr>
            <w:t>Adults using family violence exploit ableist assumptions that can also shape professional responses, including beliefs that people with disabilities are inherently dependent, incapable, less worthy, or require a level of support where control is necessary. These assumptions are deliberately leveraged to justify withholding care, controlling medical decisions, restricting mobility, or isolating victim survivors from supports and independence. This exploitation of disability specific supports and ableist assumptions distinguishes disability-based abuse as a distinct form of family violence, making it both particularly insidious and contributing to its frequent misidentification or minimisation within professional practice and support systems</w:t>
          </w:r>
          <w:r w:rsidR="004572BE" w:rsidRPr="009D30E3">
            <w:rPr>
              <w:rFonts w:ascii="DM Sans" w:hAnsi="DM Sans"/>
              <w:color w:val="auto"/>
            </w:rPr>
            <w:t>.</w:t>
          </w:r>
          <w:r w:rsidRPr="009D30E3">
            <w:rPr>
              <w:rStyle w:val="FootnoteReference"/>
              <w:rFonts w:ascii="DM Sans" w:hAnsi="DM Sans"/>
              <w:color w:val="auto"/>
              <w:sz w:val="20"/>
              <w:szCs w:val="20"/>
            </w:rPr>
            <w:footnoteReference w:id="13"/>
          </w:r>
          <w:r w:rsidRPr="009D30E3">
            <w:rPr>
              <w:rFonts w:ascii="DM Sans" w:hAnsi="DM Sans"/>
              <w:color w:val="auto"/>
            </w:rPr>
            <w:t xml:space="preserve"> </w:t>
          </w:r>
        </w:p>
        <w:p w14:paraId="56AE82D0" w14:textId="77777777" w:rsidR="008C7EFA" w:rsidRPr="009D30E3" w:rsidRDefault="008C7EFA" w:rsidP="008C7EFA">
          <w:pPr>
            <w:pStyle w:val="Heading1"/>
            <w:rPr>
              <w:rFonts w:ascii="DM Sans" w:hAnsi="DM Sans"/>
            </w:rPr>
          </w:pPr>
          <w:bookmarkStart w:id="4" w:name="_Toc240894253"/>
          <w:r w:rsidRPr="009D30E3">
            <w:rPr>
              <w:rFonts w:ascii="DM Sans" w:hAnsi="DM Sans"/>
            </w:rPr>
            <w:t>How Violence is Framed as Care</w:t>
          </w:r>
          <w:bookmarkEnd w:id="4"/>
        </w:p>
        <w:p w14:paraId="7FDD41CC" w14:textId="1CB06DF7" w:rsidR="008C7EFA" w:rsidRPr="009D30E3" w:rsidRDefault="008C7EFA" w:rsidP="008C7EFA">
          <w:pPr>
            <w:rPr>
              <w:rFonts w:ascii="DM Sans" w:hAnsi="DM Sans"/>
              <w:color w:val="auto"/>
            </w:rPr>
          </w:pPr>
          <w:r w:rsidRPr="009D30E3">
            <w:rPr>
              <w:rFonts w:ascii="DM Sans" w:hAnsi="DM Sans"/>
              <w:color w:val="auto"/>
            </w:rPr>
            <w:t xml:space="preserve">When adults using family violence also provide care, violent behaviours are frequently interpreted as care or support, normalised and excused by systems designed to trust and elevate caregivers. Adults using family violence exploit this, positioning themselves as indispensable and creating a "halo effect" where they are perceived as </w:t>
          </w:r>
          <w:r w:rsidRPr="009D30E3">
            <w:rPr>
              <w:rFonts w:ascii="DM Sans" w:hAnsi="DM Sans"/>
              <w:color w:val="auto"/>
            </w:rPr>
            <w:lastRenderedPageBreak/>
            <w:t>selfless and beyond reproach</w:t>
          </w:r>
          <w:r w:rsidR="004572BE" w:rsidRPr="009D30E3">
            <w:rPr>
              <w:rFonts w:ascii="DM Sans" w:hAnsi="DM Sans"/>
              <w:color w:val="auto"/>
            </w:rPr>
            <w:t>.</w:t>
          </w:r>
          <w:r w:rsidRPr="009D30E3">
            <w:rPr>
              <w:rStyle w:val="FootnoteReference"/>
              <w:rFonts w:ascii="DM Sans" w:hAnsi="DM Sans"/>
              <w:color w:val="auto"/>
            </w:rPr>
            <w:footnoteReference w:id="14"/>
          </w:r>
          <w:r w:rsidRPr="009D30E3">
            <w:rPr>
              <w:rFonts w:ascii="DM Sans" w:hAnsi="DM Sans"/>
              <w:color w:val="auto"/>
            </w:rPr>
            <w:t xml:space="preserve"> Services and systems may inadvertently reinforce this framing through carer-focused language that portrays family members as "burdened" or "struggling to cope," excusing violence as an understandable reaction to caring pressures rather than recognising it as a deliberate pattern of coercive control</w:t>
          </w:r>
          <w:r w:rsidR="004572BE" w:rsidRPr="009D30E3">
            <w:rPr>
              <w:rFonts w:ascii="DM Sans" w:hAnsi="DM Sans"/>
              <w:color w:val="auto"/>
            </w:rPr>
            <w:t>.</w:t>
          </w:r>
          <w:r w:rsidRPr="009D30E3">
            <w:rPr>
              <w:rStyle w:val="FootnoteReference"/>
              <w:rFonts w:ascii="DM Sans" w:hAnsi="DM Sans"/>
              <w:color w:val="auto"/>
            </w:rPr>
            <w:footnoteReference w:id="15"/>
          </w:r>
          <w:r w:rsidRPr="009D30E3">
            <w:rPr>
              <w:rFonts w:ascii="DM Sans" w:hAnsi="DM Sans"/>
              <w:color w:val="auto"/>
            </w:rPr>
            <w:t xml:space="preserve"> </w:t>
          </w:r>
        </w:p>
        <w:p w14:paraId="66321FF3" w14:textId="50ECFA0E" w:rsidR="008C7EFA" w:rsidRPr="009D30E3" w:rsidRDefault="008C7EFA" w:rsidP="008C7EFA">
          <w:pPr>
            <w:rPr>
              <w:rFonts w:ascii="DM Sans" w:hAnsi="DM Sans"/>
              <w:color w:val="auto"/>
            </w:rPr>
          </w:pPr>
          <w:r w:rsidRPr="009D30E3">
            <w:rPr>
              <w:rFonts w:ascii="DM Sans" w:hAnsi="DM Sans"/>
              <w:color w:val="auto"/>
            </w:rPr>
            <w:t>Substitute decision making arrangements, where others are legally empowered to make decisions about finances, living situations, medical care, and daily life can become tools of coercive control, further legitimised under the guise of protection</w:t>
          </w:r>
          <w:r w:rsidR="004572BE" w:rsidRPr="009D30E3">
            <w:rPr>
              <w:rFonts w:ascii="DM Sans" w:hAnsi="DM Sans"/>
              <w:color w:val="auto"/>
            </w:rPr>
            <w:t>.</w:t>
          </w:r>
          <w:r w:rsidRPr="009D30E3">
            <w:rPr>
              <w:rStyle w:val="FootnoteReference"/>
              <w:rFonts w:ascii="DM Sans" w:hAnsi="DM Sans"/>
              <w:color w:val="auto"/>
            </w:rPr>
            <w:footnoteReference w:id="16"/>
          </w:r>
          <w:r w:rsidRPr="009D30E3">
            <w:rPr>
              <w:rFonts w:ascii="DM Sans" w:hAnsi="DM Sans"/>
              <w:color w:val="auto"/>
            </w:rPr>
            <w:t xml:space="preserve"> Adults using family violence deliberately embed themselves in these legal structures as guardians, administrators, or authorised decision makers, exploiting gendered and ableist stereotypes that frame women and girls with disabilities as "incapable" or lacking capacity to justify unilateral control</w:t>
          </w:r>
          <w:r w:rsidR="004572BE" w:rsidRPr="009D30E3">
            <w:rPr>
              <w:rFonts w:ascii="DM Sans" w:hAnsi="DM Sans"/>
              <w:color w:val="auto"/>
            </w:rPr>
            <w:t>.</w:t>
          </w:r>
          <w:r w:rsidRPr="009D30E3">
            <w:rPr>
              <w:rStyle w:val="FootnoteReference"/>
              <w:rFonts w:ascii="DM Sans" w:hAnsi="DM Sans"/>
              <w:color w:val="auto"/>
            </w:rPr>
            <w:footnoteReference w:id="17"/>
          </w:r>
          <w:r w:rsidRPr="009D30E3">
            <w:rPr>
              <w:rFonts w:ascii="DM Sans" w:hAnsi="DM Sans"/>
              <w:color w:val="auto"/>
            </w:rPr>
            <w:t xml:space="preserve"> These arrangements strip victim survivors of autonomy, making it extraordinarily difficult to seek help, make safety plans, or leave violent situations when the person causing harm holds legal decision-making power</w:t>
          </w:r>
          <w:r w:rsidR="004572BE" w:rsidRPr="009D30E3">
            <w:rPr>
              <w:rFonts w:ascii="DM Sans" w:hAnsi="DM Sans"/>
              <w:color w:val="auto"/>
            </w:rPr>
            <w:t>.</w:t>
          </w:r>
          <w:r w:rsidRPr="009D30E3">
            <w:rPr>
              <w:rStyle w:val="FootnoteReference"/>
              <w:rFonts w:ascii="DM Sans" w:hAnsi="DM Sans"/>
              <w:color w:val="auto"/>
            </w:rPr>
            <w:footnoteReference w:id="18"/>
          </w:r>
        </w:p>
        <w:p w14:paraId="2C009C66" w14:textId="77777777" w:rsidR="008C7EFA" w:rsidRPr="009D30E3" w:rsidRDefault="008C7EFA" w:rsidP="008C7EFA">
          <w:pPr>
            <w:pStyle w:val="Heading1"/>
            <w:rPr>
              <w:rFonts w:ascii="DM Sans" w:hAnsi="DM Sans"/>
            </w:rPr>
          </w:pPr>
          <w:bookmarkStart w:id="5" w:name="_Toc240894254"/>
          <w:r w:rsidRPr="009D30E3">
            <w:rPr>
              <w:rFonts w:ascii="DM Sans" w:hAnsi="DM Sans"/>
            </w:rPr>
            <w:t>Assessment Approach</w:t>
          </w:r>
          <w:bookmarkEnd w:id="5"/>
        </w:p>
        <w:p w14:paraId="2E7CB6D8" w14:textId="77777777" w:rsidR="008C7EFA" w:rsidRPr="009D30E3" w:rsidRDefault="008C7EFA" w:rsidP="008C7EFA">
          <w:pPr>
            <w:rPr>
              <w:rFonts w:ascii="DM Sans" w:hAnsi="DM Sans"/>
              <w:color w:val="auto"/>
              <w:sz w:val="20"/>
              <w:szCs w:val="20"/>
            </w:rPr>
          </w:pPr>
          <w:r w:rsidRPr="009D30E3">
            <w:rPr>
              <w:rFonts w:ascii="DM Sans" w:hAnsi="DM Sans"/>
              <w:color w:val="auto"/>
            </w:rPr>
            <w:t>Risk factors may present differently depending on the identity, circumstances, and disability experience of a victim survivor. Practitioners should use intersectional analysis to understand how adults using family violence target victim survivors' disabilities, related supports, and care systems, recognising that structural inequities including ableism, inaccessible services, and substitute decision-making arrangements create compounding barriers to disclosure and help-seeking that directly shape what victim survivors are able to share and when.</w:t>
          </w:r>
        </w:p>
        <w:p w14:paraId="017F4262" w14:textId="77777777" w:rsidR="008C7EFA" w:rsidRPr="009D30E3" w:rsidRDefault="008C7EFA" w:rsidP="008C7EFA">
          <w:pPr>
            <w:rPr>
              <w:rFonts w:ascii="DM Sans" w:hAnsi="DM Sans"/>
              <w:color w:val="auto"/>
              <w:sz w:val="20"/>
              <w:szCs w:val="20"/>
            </w:rPr>
          </w:pPr>
          <w:r w:rsidRPr="009D30E3">
            <w:rPr>
              <w:rFonts w:ascii="DM Sans" w:hAnsi="DM Sans"/>
              <w:color w:val="auto"/>
            </w:rPr>
            <w:t>People with disabilities are active agents in their own safety, and develop sophisticated strategies to manage, resist, and survive family violence within highly constrained circumstances. Practitioners should recognise victim survivors as experts in their own safety, actively identifying the strategies they have already used to keep themselves safer, and the relationships, community connections, and resources they value and trust. Recognising this lived expertise is central to effective risk assessment and safety planning, as overly protective responses that override victim survivor autonomy can inadvertently replicate the dynamics of coercive control.</w:t>
          </w:r>
          <w:r w:rsidRPr="009D30E3">
            <w:rPr>
              <w:rStyle w:val="FootnoteReference"/>
              <w:rFonts w:ascii="DM Sans" w:hAnsi="DM Sans"/>
              <w:color w:val="auto"/>
              <w:sz w:val="20"/>
              <w:szCs w:val="20"/>
            </w:rPr>
            <w:t xml:space="preserve"> </w:t>
          </w:r>
        </w:p>
        <w:p w14:paraId="0A2248C6" w14:textId="77777777" w:rsidR="008C7EFA" w:rsidRPr="009D30E3" w:rsidRDefault="008C7EFA" w:rsidP="008C7EFA">
          <w:pPr>
            <w:rPr>
              <w:rFonts w:ascii="DM Sans" w:hAnsi="DM Sans"/>
              <w:color w:val="auto"/>
              <w:sz w:val="20"/>
              <w:szCs w:val="20"/>
            </w:rPr>
          </w:pPr>
          <w:r w:rsidRPr="009D30E3">
            <w:rPr>
              <w:rFonts w:ascii="DM Sans" w:hAnsi="DM Sans"/>
              <w:color w:val="auto"/>
            </w:rPr>
            <w:t xml:space="preserve">The guiding questions throughout this resource are intended as conversation starters to support structured professional judgement, not as a checklist or script. Questions </w:t>
          </w:r>
          <w:r w:rsidRPr="009D30E3">
            <w:rPr>
              <w:rFonts w:ascii="DM Sans" w:hAnsi="DM Sans"/>
              <w:color w:val="auto"/>
            </w:rPr>
            <w:lastRenderedPageBreak/>
            <w:t>should always be adapted to the person's communication needs, cognitive abilities, and disability experience. This may mean simplifying language, using supported communication tools, allowing additional time, or approaching topics across multiple conversations rather than in a single assessment.</w:t>
          </w:r>
        </w:p>
        <w:p w14:paraId="604E9CFC" w14:textId="77777777" w:rsidR="008C7EFA" w:rsidRPr="009D30E3" w:rsidRDefault="008C7EFA" w:rsidP="008C7EFA">
          <w:pPr>
            <w:keepNext/>
            <w:rPr>
              <w:rFonts w:ascii="DM Sans" w:hAnsi="DM Sans"/>
              <w:color w:val="auto"/>
              <w:sz w:val="20"/>
              <w:szCs w:val="20"/>
            </w:rPr>
          </w:pPr>
          <w:r w:rsidRPr="009D30E3">
            <w:rPr>
              <w:rFonts w:ascii="DM Sans" w:hAnsi="DM Sans"/>
              <w:color w:val="auto"/>
            </w:rPr>
            <w:t>Disability inclusive practice in assessment:</w:t>
          </w:r>
        </w:p>
        <w:p w14:paraId="42E958B5" w14:textId="2F03C90D"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Conduct assessment collaboratively, ensuring communication is accessible and adapted to the person's needs. This may include augmentative and alternative communication, interpreters, Easy Read materials, or additional time. Never assume what a person can or cannot understand, decide, or do; always communicate directly with the person themselves</w:t>
          </w:r>
          <w:r w:rsidR="004572BE" w:rsidRPr="009D30E3">
            <w:rPr>
              <w:rFonts w:ascii="DM Sans" w:hAnsi="DM Sans"/>
              <w:color w:val="auto"/>
            </w:rPr>
            <w:t>.</w:t>
          </w:r>
          <w:r w:rsidRPr="009D30E3">
            <w:rPr>
              <w:rStyle w:val="FootnoteReference"/>
              <w:rFonts w:ascii="DM Sans" w:hAnsi="DM Sans"/>
              <w:color w:val="auto"/>
              <w:sz w:val="20"/>
              <w:szCs w:val="20"/>
            </w:rPr>
            <w:footnoteReference w:id="19"/>
          </w:r>
        </w:p>
        <w:p w14:paraId="0CFD0228"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Centre the victim survivor's self-assessment of risk and fear. Recognise that suppressed or minimised expressions of fear do not necessarily indicate low risk.</w:t>
          </w:r>
        </w:p>
        <w:p w14:paraId="6148694F"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Actively reflect on your own assumptions and biases, approaching each engagement with an open, curious, and non-judgmental stance that treats disability as context rather than explanation. Focus on perpetrator behaviour and its impact on the victim survivor's safety, autonomy, and freedom.</w:t>
          </w:r>
        </w:p>
        <w:p w14:paraId="31FCDF0E" w14:textId="4D117F8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Assess for violence from multiple perpetrators including intimate partners, family members, and paid or unpaid carers. Ensure assessment conversations occur privately and without third parties present. A person attending as a support person may be connected to the adult using family violence</w:t>
          </w:r>
          <w:r w:rsidR="004572BE" w:rsidRPr="009D30E3">
            <w:rPr>
              <w:rFonts w:ascii="DM Sans" w:hAnsi="DM Sans"/>
              <w:color w:val="auto"/>
            </w:rPr>
            <w:t>.</w:t>
          </w:r>
          <w:r w:rsidRPr="009D30E3">
            <w:rPr>
              <w:rStyle w:val="FootnoteReference"/>
              <w:rFonts w:ascii="DM Sans" w:hAnsi="DM Sans"/>
              <w:color w:val="auto"/>
              <w:sz w:val="20"/>
              <w:szCs w:val="20"/>
            </w:rPr>
            <w:footnoteReference w:id="20"/>
          </w:r>
          <w:r w:rsidRPr="009D30E3">
            <w:rPr>
              <w:rFonts w:ascii="DM Sans" w:hAnsi="DM Sans"/>
              <w:color w:val="auto"/>
            </w:rPr>
            <w:t xml:space="preserve"> </w:t>
          </w:r>
        </w:p>
        <w:p w14:paraId="4D05F061" w14:textId="10036FBF"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 xml:space="preserve">Recognise that "best interests" decision-making can replicate coercive control. Promote autonomy through supported decision-making rather than substitute </w:t>
          </w:r>
          <w:proofErr w:type="gramStart"/>
          <w:r w:rsidRPr="009D30E3">
            <w:rPr>
              <w:rFonts w:ascii="DM Sans" w:hAnsi="DM Sans"/>
              <w:color w:val="auto"/>
            </w:rPr>
            <w:t>decision-making, and</w:t>
          </w:r>
          <w:proofErr w:type="gramEnd"/>
          <w:r w:rsidRPr="009D30E3">
            <w:rPr>
              <w:rFonts w:ascii="DM Sans" w:hAnsi="DM Sans"/>
              <w:color w:val="auto"/>
            </w:rPr>
            <w:t xml:space="preserve"> centre the victim survivor's own agency and preferences</w:t>
          </w:r>
          <w:r w:rsidR="004572BE" w:rsidRPr="009D30E3">
            <w:rPr>
              <w:rFonts w:ascii="DM Sans" w:hAnsi="DM Sans"/>
              <w:color w:val="auto"/>
            </w:rPr>
            <w:t>.</w:t>
          </w:r>
          <w:r w:rsidRPr="009D30E3">
            <w:rPr>
              <w:rStyle w:val="FootnoteReference"/>
              <w:rFonts w:ascii="DM Sans" w:hAnsi="DM Sans"/>
              <w:color w:val="auto"/>
              <w:sz w:val="20"/>
              <w:szCs w:val="20"/>
            </w:rPr>
            <w:footnoteReference w:id="21"/>
          </w:r>
          <w:r w:rsidRPr="009D30E3">
            <w:rPr>
              <w:rFonts w:ascii="DM Sans" w:hAnsi="DM Sans"/>
              <w:color w:val="auto"/>
            </w:rPr>
            <w:t xml:space="preserve"> </w:t>
          </w:r>
        </w:p>
        <w:p w14:paraId="77E3A056"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Recognise that legally authorised arrangements including guardianship, power of attorney, and behaviour support plans do not mitigate risk. These arrangements can themselves be used as tools of coercive control, and professional judgement must actively interrogate power, consent, and choice regardless of their legal status.</w:t>
          </w:r>
        </w:p>
        <w:p w14:paraId="728B010B" w14:textId="0B185D65"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lastRenderedPageBreak/>
            <w:t>Identify protective factors and strengths. These may include connections to disability community networks, peer support, advocacy organisations, cultural and faith communities, and family relationships</w:t>
          </w:r>
          <w:r w:rsidR="004572BE" w:rsidRPr="009D30E3">
            <w:rPr>
              <w:rFonts w:ascii="DM Sans" w:hAnsi="DM Sans"/>
              <w:color w:val="auto"/>
            </w:rPr>
            <w:t>.</w:t>
          </w:r>
          <w:r w:rsidRPr="009D30E3">
            <w:rPr>
              <w:rStyle w:val="FootnoteReference"/>
              <w:rFonts w:ascii="DM Sans" w:hAnsi="DM Sans"/>
              <w:color w:val="auto"/>
              <w:sz w:val="20"/>
              <w:szCs w:val="20"/>
            </w:rPr>
            <w:footnoteReference w:id="22"/>
          </w:r>
          <w:r w:rsidRPr="009D30E3">
            <w:rPr>
              <w:rFonts w:ascii="DM Sans" w:hAnsi="DM Sans"/>
              <w:color w:val="auto"/>
            </w:rPr>
            <w:t xml:space="preserve"> </w:t>
          </w:r>
        </w:p>
        <w:p w14:paraId="59B4024C" w14:textId="2E53288D"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Apply the principle of "Nothing About Us Without Us" centring the lived expertise of victim survivors with disabilities in assessment and decision-making, actively challenging ableist assumptions about capacity, agency, and credibility</w:t>
          </w:r>
          <w:r w:rsidR="004572BE" w:rsidRPr="009D30E3">
            <w:rPr>
              <w:rFonts w:ascii="DM Sans" w:hAnsi="DM Sans"/>
              <w:color w:val="auto"/>
            </w:rPr>
            <w:t>.</w:t>
          </w:r>
          <w:r w:rsidRPr="009D30E3">
            <w:rPr>
              <w:rStyle w:val="FootnoteReference"/>
              <w:rFonts w:ascii="DM Sans" w:hAnsi="DM Sans"/>
              <w:color w:val="auto"/>
              <w:sz w:val="20"/>
              <w:szCs w:val="20"/>
            </w:rPr>
            <w:footnoteReference w:id="23"/>
          </w:r>
        </w:p>
        <w:p w14:paraId="69C90ED3"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When receiving disclosures from people with cognitive or communication disabilities, recognise that non-linear, inconsistent, or delayed accounts often reflect systemic barriers and the impact of coercive control rather than a lack of credibility. Do not treat inconsistency as grounds to doubt or minimise a person's account.</w:t>
          </w:r>
        </w:p>
        <w:p w14:paraId="614AA019"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Risk for people with disabilities can shift rapidly, particularly during changes to care, housing, NDIS plans, or the adult using family violence’s access to the victim survivor. Transitions such as guardianship reviews, changes in support workers, threatened withdrawal of care, or separation may signal escalation points requiring immediate risk management. Where abuse is embedded across multiple systems, care relationships, or legal structures, the cumulative impact may not be visible when each element is considered in isolation.</w:t>
          </w:r>
        </w:p>
        <w:p w14:paraId="06ECCB0F" w14:textId="252166F7" w:rsidR="008C7EFA" w:rsidRPr="009D30E3" w:rsidRDefault="00056612" w:rsidP="008C7EFA">
          <w:pPr>
            <w:pStyle w:val="Heading1"/>
            <w:pageBreakBefore/>
            <w:rPr>
              <w:rFonts w:ascii="DM Sans" w:hAnsi="DM Sans"/>
            </w:rPr>
          </w:pPr>
          <w:bookmarkStart w:id="6" w:name="_Toc240894255"/>
          <w:r w:rsidRPr="009D30E3">
            <w:rPr>
              <w:rFonts w:ascii="DM Sans" w:hAnsi="DM Sans"/>
            </w:rPr>
            <w:lastRenderedPageBreak/>
            <w:t>Risk Factors Relevant to an Adult Victim Survivor’s Circumstances</w:t>
          </w:r>
          <w:r w:rsidRPr="009D30E3">
            <w:rPr>
              <w:rFonts w:ascii="DM Sans" w:hAnsi="DM Sans"/>
            </w:rPr>
            <w:br/>
          </w:r>
          <w:r w:rsidRPr="009D30E3">
            <w:rPr>
              <w:rFonts w:ascii="DM Sans" w:hAnsi="DM Sans"/>
            </w:rPr>
            <w:br/>
          </w:r>
          <w:r w:rsidR="008C7EFA" w:rsidRPr="009D30E3">
            <w:rPr>
              <w:rStyle w:val="Heading2Char"/>
              <w:b/>
              <w:bCs/>
            </w:rPr>
            <w:t>Financial Abuse/Difficulties</w:t>
          </w:r>
          <w:bookmarkEnd w:id="6"/>
        </w:p>
        <w:p w14:paraId="5CDC13B6" w14:textId="77777777" w:rsidR="008C7EFA" w:rsidRPr="009D30E3" w:rsidRDefault="008C7EFA" w:rsidP="008C7EFA">
          <w:pPr>
            <w:rPr>
              <w:rFonts w:ascii="DM Sans" w:hAnsi="DM Sans"/>
              <w:color w:val="auto"/>
            </w:rPr>
          </w:pPr>
          <w:r w:rsidRPr="009D30E3">
            <w:rPr>
              <w:rFonts w:ascii="DM Sans" w:hAnsi="DM Sans"/>
              <w:color w:val="auto"/>
            </w:rPr>
            <w:t>Financial abuse (across socioeconomic groups), financial stress and gambling addiction, particularly of the perpetrator, are risk factors for family violence. Financial abuse is a relevant determinant of a victim survivor staying or leaving a relationship</w:t>
          </w:r>
          <w:r w:rsidRPr="009D30E3">
            <w:rPr>
              <w:rFonts w:ascii="DM Sans" w:hAnsi="DM Sans"/>
              <w:color w:val="auto"/>
              <w:vertAlign w:val="superscript"/>
            </w:rPr>
            <w:t>2</w:t>
          </w:r>
          <w:r w:rsidRPr="009D30E3">
            <w:rPr>
              <w:rFonts w:ascii="DM Sans" w:hAnsi="DM Sans"/>
              <w:color w:val="auto"/>
            </w:rPr>
            <w:t>.</w:t>
          </w:r>
        </w:p>
        <w:p w14:paraId="01ED0948" w14:textId="77777777" w:rsidR="008C7EFA" w:rsidRPr="009D30E3" w:rsidRDefault="008C7EFA" w:rsidP="008C7EFA">
          <w:pPr>
            <w:keepNext/>
            <w:rPr>
              <w:rFonts w:ascii="DM Sans" w:hAnsi="DM Sans"/>
              <w:color w:val="auto"/>
            </w:rPr>
          </w:pPr>
          <w:r w:rsidRPr="009D30E3">
            <w:rPr>
              <w:rFonts w:ascii="DM Sans" w:hAnsi="DM Sans"/>
              <w:color w:val="auto"/>
            </w:rPr>
            <w:t xml:space="preserve">Financial abuse / difficulties in context for victim survivors with a </w:t>
          </w:r>
          <w:proofErr w:type="gramStart"/>
          <w:r w:rsidRPr="009D30E3">
            <w:rPr>
              <w:rFonts w:ascii="DM Sans" w:hAnsi="DM Sans"/>
              <w:color w:val="auto"/>
            </w:rPr>
            <w:t>disabilities</w:t>
          </w:r>
          <w:proofErr w:type="gramEnd"/>
          <w:r w:rsidRPr="009D30E3">
            <w:rPr>
              <w:rFonts w:ascii="DM Sans" w:hAnsi="DM Sans"/>
              <w:color w:val="auto"/>
            </w:rPr>
            <w:t>:</w:t>
          </w:r>
        </w:p>
        <w:p w14:paraId="7D89D2AA" w14:textId="77777777" w:rsidR="008C7EFA" w:rsidRPr="009D30E3" w:rsidRDefault="008C7EFA" w:rsidP="00056612">
          <w:pPr>
            <w:pStyle w:val="Heading3"/>
          </w:pPr>
          <w:bookmarkStart w:id="7" w:name="_NDIS_Funding_Exploitation"/>
          <w:bookmarkStart w:id="8" w:name="_Toc240894256"/>
          <w:r w:rsidRPr="009D30E3">
            <w:t>NDIS Funding Exploitation and Control</w:t>
          </w:r>
          <w:bookmarkEnd w:id="7"/>
          <w:bookmarkEnd w:id="8"/>
        </w:p>
        <w:p w14:paraId="2B63B6DA" w14:textId="1959FE14" w:rsidR="008C7EFA" w:rsidRPr="009D30E3" w:rsidRDefault="008C7EFA" w:rsidP="008C7EFA">
          <w:pPr>
            <w:rPr>
              <w:rFonts w:ascii="DM Sans" w:hAnsi="DM Sans"/>
              <w:color w:val="auto"/>
            </w:rPr>
          </w:pPr>
          <w:r w:rsidRPr="009D30E3">
            <w:rPr>
              <w:rFonts w:ascii="DM Sans" w:hAnsi="DM Sans"/>
              <w:color w:val="auto"/>
            </w:rPr>
            <w:t xml:space="preserve">Financial abuse against people with disabilities often involves the deliberate misuse or control of disability-related payments, supports, and funding. When adults using family violence hold roles as carers, support coordinators, or plan nominees, they may exploit NDIS systems to maintain control, restricting access, redirecting funding for their own benefit, or using substitute decision </w:t>
          </w:r>
          <w:proofErr w:type="gramStart"/>
          <w:r w:rsidRPr="009D30E3">
            <w:rPr>
              <w:rFonts w:ascii="DM Sans" w:hAnsi="DM Sans"/>
              <w:color w:val="auto"/>
            </w:rPr>
            <w:t>making arrangements</w:t>
          </w:r>
          <w:proofErr w:type="gramEnd"/>
          <w:r w:rsidRPr="009D30E3">
            <w:rPr>
              <w:rFonts w:ascii="DM Sans" w:hAnsi="DM Sans"/>
              <w:color w:val="auto"/>
            </w:rPr>
            <w:t xml:space="preserve"> to remove choice and financial autonomy</w:t>
          </w:r>
          <w:r w:rsidR="004572BE" w:rsidRPr="009D30E3">
            <w:rPr>
              <w:rFonts w:ascii="DM Sans" w:hAnsi="DM Sans"/>
              <w:color w:val="auto"/>
            </w:rPr>
            <w:t>.</w:t>
          </w:r>
          <w:r w:rsidRPr="009D30E3">
            <w:rPr>
              <w:rStyle w:val="FootnoteReference"/>
              <w:rFonts w:ascii="DM Sans" w:hAnsi="DM Sans"/>
              <w:color w:val="auto"/>
            </w:rPr>
            <w:footnoteReference w:id="24"/>
          </w:r>
        </w:p>
        <w:p w14:paraId="2B6A93C0"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32B2FC53" w14:textId="77777777" w:rsidR="008C7EFA" w:rsidRPr="009D30E3" w:rsidRDefault="008C7EFA" w:rsidP="008C7EFA">
          <w:pPr>
            <w:numPr>
              <w:ilvl w:val="0"/>
              <w:numId w:val="25"/>
            </w:numPr>
            <w:rPr>
              <w:rFonts w:ascii="DM Sans" w:hAnsi="DM Sans"/>
              <w:color w:val="auto"/>
            </w:rPr>
          </w:pPr>
          <w:r w:rsidRPr="009D30E3">
            <w:rPr>
              <w:rFonts w:ascii="DM Sans" w:hAnsi="DM Sans"/>
              <w:color w:val="auto"/>
            </w:rPr>
            <w:t>Making decisions about NDIS plan development and reviews without consultation, positioning themselves as essential intermediaries between the victim survivor and the NDIS</w:t>
          </w:r>
        </w:p>
        <w:p w14:paraId="1786D23F" w14:textId="77777777" w:rsidR="008C7EFA" w:rsidRPr="009D30E3" w:rsidRDefault="008C7EFA" w:rsidP="008C7EFA">
          <w:pPr>
            <w:numPr>
              <w:ilvl w:val="0"/>
              <w:numId w:val="25"/>
            </w:numPr>
            <w:rPr>
              <w:rFonts w:ascii="DM Sans" w:hAnsi="DM Sans"/>
              <w:color w:val="auto"/>
            </w:rPr>
          </w:pPr>
          <w:r w:rsidRPr="009D30E3">
            <w:rPr>
              <w:rFonts w:ascii="DM Sans" w:hAnsi="DM Sans"/>
              <w:color w:val="auto"/>
            </w:rPr>
            <w:t>Misusing NDIS funding, for example using transport or household tasks funding for their own purposes rather than the person's disability-related needs</w:t>
          </w:r>
          <w:r w:rsidRPr="009D30E3">
            <w:rPr>
              <w:rStyle w:val="FootnoteReference"/>
              <w:rFonts w:ascii="DM Sans" w:hAnsi="DM Sans"/>
              <w:color w:val="auto"/>
            </w:rPr>
            <w:footnoteReference w:id="25"/>
          </w:r>
        </w:p>
        <w:p w14:paraId="2A3C896A" w14:textId="77777777" w:rsidR="008C7EFA" w:rsidRPr="009D30E3" w:rsidRDefault="008C7EFA" w:rsidP="008C7EFA">
          <w:pPr>
            <w:numPr>
              <w:ilvl w:val="0"/>
              <w:numId w:val="25"/>
            </w:numPr>
            <w:rPr>
              <w:rFonts w:ascii="DM Sans" w:hAnsi="DM Sans"/>
              <w:color w:val="auto"/>
            </w:rPr>
          </w:pPr>
          <w:r w:rsidRPr="009D30E3">
            <w:rPr>
              <w:rFonts w:ascii="DM Sans" w:hAnsi="DM Sans"/>
              <w:color w:val="auto"/>
            </w:rPr>
            <w:t>Controlling online NDIS accounts and budget information, preventing independent access to plan details</w:t>
          </w:r>
        </w:p>
        <w:p w14:paraId="6F7068C5" w14:textId="77777777" w:rsidR="008C7EFA" w:rsidRPr="009D30E3" w:rsidRDefault="008C7EFA" w:rsidP="008C7EFA">
          <w:pPr>
            <w:numPr>
              <w:ilvl w:val="0"/>
              <w:numId w:val="25"/>
            </w:numPr>
            <w:rPr>
              <w:rFonts w:ascii="DM Sans" w:hAnsi="DM Sans"/>
              <w:color w:val="auto"/>
            </w:rPr>
          </w:pPr>
          <w:r w:rsidRPr="009D30E3">
            <w:rPr>
              <w:rFonts w:ascii="DM Sans" w:hAnsi="DM Sans"/>
              <w:color w:val="auto"/>
            </w:rPr>
            <w:t>Taking control of NDIS participant portals or MyGov accounts, changing passwords to prevent the person from accessing their own funding, support schedules, or medical records</w:t>
          </w:r>
        </w:p>
        <w:p w14:paraId="46702F6C" w14:textId="77777777" w:rsidR="008C7EFA" w:rsidRPr="009D30E3" w:rsidRDefault="008C7EFA" w:rsidP="008C7EFA">
          <w:pPr>
            <w:numPr>
              <w:ilvl w:val="0"/>
              <w:numId w:val="25"/>
            </w:numPr>
            <w:rPr>
              <w:rFonts w:ascii="DM Sans" w:hAnsi="DM Sans"/>
              <w:color w:val="auto"/>
            </w:rPr>
          </w:pPr>
          <w:r w:rsidRPr="009D30E3">
            <w:rPr>
              <w:rFonts w:ascii="DM Sans" w:hAnsi="DM Sans"/>
              <w:color w:val="auto"/>
            </w:rPr>
            <w:t>Deliberately exploiting ableist assumptions about capacity to claim the victim survivor cannot manage their own finances or understand their needs</w:t>
          </w:r>
          <w:r w:rsidRPr="009D30E3">
            <w:rPr>
              <w:rStyle w:val="FootnoteReference"/>
              <w:rFonts w:ascii="DM Sans" w:hAnsi="DM Sans"/>
              <w:color w:val="auto"/>
            </w:rPr>
            <w:footnoteReference w:id="26"/>
          </w:r>
        </w:p>
        <w:p w14:paraId="58D824C4" w14:textId="77777777" w:rsidR="008C7EFA" w:rsidRPr="009D30E3" w:rsidRDefault="008C7EFA" w:rsidP="009D30E3">
          <w:pPr>
            <w:pStyle w:val="Heading4"/>
          </w:pPr>
          <w:r w:rsidRPr="009D30E3">
            <w:lastRenderedPageBreak/>
            <w:t>Guiding questions for practitioners</w:t>
          </w:r>
        </w:p>
        <w:p w14:paraId="77074792"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Can you tell me who's involved in your NDIS plan? Things like who comes to meetings, who makes decisions about your supports, and whether you can see how your funding is being spent?</w:t>
          </w:r>
        </w:p>
        <w:p w14:paraId="6D519A1B"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Is the person using violence your NDIS Plan Nominee?</w:t>
          </w:r>
        </w:p>
        <w:p w14:paraId="6E91F791"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Has anyone used your NDIS funding for things that don't benefit you?</w:t>
          </w:r>
        </w:p>
        <w:p w14:paraId="70D355F5"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Has anyone removed, restricted, or changed your access to supports funded through your NDIS plan?</w:t>
          </w:r>
        </w:p>
        <w:p w14:paraId="76958193"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 xml:space="preserve">Does your child have </w:t>
          </w:r>
          <w:proofErr w:type="gramStart"/>
          <w:r w:rsidRPr="009D30E3">
            <w:rPr>
              <w:rFonts w:ascii="DM Sans" w:hAnsi="DM Sans"/>
              <w:color w:val="auto"/>
            </w:rPr>
            <w:t>an</w:t>
          </w:r>
          <w:proofErr w:type="gramEnd"/>
          <w:r w:rsidRPr="009D30E3">
            <w:rPr>
              <w:rFonts w:ascii="DM Sans" w:hAnsi="DM Sans"/>
              <w:color w:val="auto"/>
            </w:rPr>
            <w:t xml:space="preserve"> NDIS plan? </w:t>
          </w:r>
        </w:p>
        <w:p w14:paraId="6098E20E"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 xml:space="preserve">Is the person using violence listed as a Child Representative? </w:t>
          </w:r>
        </w:p>
        <w:p w14:paraId="64252473" w14:textId="77777777" w:rsidR="008C7EFA" w:rsidRPr="009D30E3" w:rsidRDefault="008C7EFA" w:rsidP="008C7EFA">
          <w:pPr>
            <w:ind w:left="720"/>
            <w:rPr>
              <w:rFonts w:ascii="DM Sans" w:hAnsi="DM Sans"/>
              <w:color w:val="auto"/>
              <w:sz w:val="20"/>
              <w:szCs w:val="20"/>
            </w:rPr>
          </w:pPr>
          <w:r w:rsidRPr="009D30E3">
            <w:rPr>
              <w:rFonts w:ascii="DM Sans" w:hAnsi="DM Sans"/>
              <w:color w:val="auto"/>
            </w:rPr>
            <w:t xml:space="preserve">(Note: child representatives have access to all plan information, including the location where supports are provided) </w:t>
          </w:r>
        </w:p>
        <w:p w14:paraId="7FF44928"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For people with cognitive disability or communication support needs: do you know who your plan nominee is? Would you like to find out what your plan says?</w:t>
          </w:r>
        </w:p>
        <w:p w14:paraId="59A78D9F" w14:textId="77777777" w:rsidR="008C7EFA" w:rsidRPr="009D30E3" w:rsidRDefault="008C7EFA" w:rsidP="00056612">
          <w:pPr>
            <w:pStyle w:val="Heading3"/>
          </w:pPr>
          <w:bookmarkStart w:id="9" w:name="_Disability_Support_Pension"/>
          <w:bookmarkStart w:id="10" w:name="_Toc240894257"/>
          <w:r w:rsidRPr="009D30E3">
            <w:t>Disability Support Pension (DSP) and Centrelink Control</w:t>
          </w:r>
          <w:bookmarkEnd w:id="9"/>
          <w:bookmarkEnd w:id="10"/>
        </w:p>
        <w:p w14:paraId="0BF103FA" w14:textId="2174004C" w:rsidR="008C7EFA" w:rsidRPr="009D30E3" w:rsidRDefault="008C7EFA" w:rsidP="008C7EFA">
          <w:pPr>
            <w:rPr>
              <w:rFonts w:ascii="DM Sans" w:hAnsi="DM Sans"/>
              <w:color w:val="auto"/>
            </w:rPr>
          </w:pPr>
          <w:r w:rsidRPr="009D30E3">
            <w:rPr>
              <w:rFonts w:ascii="DM Sans" w:hAnsi="DM Sans"/>
              <w:color w:val="auto"/>
            </w:rPr>
            <w:t>The Disability Support Pension (DSP) is often a person's primary or sole source of income, making control over DSP payments a particularly powerful mechanism of economic coercion. Adults using family violence may target DSP payments to create total financial control, removing the victim survivor's capacity to meet basic needs independently or to leave</w:t>
          </w:r>
          <w:r w:rsidR="004572BE" w:rsidRPr="009D30E3">
            <w:rPr>
              <w:rFonts w:ascii="DM Sans" w:hAnsi="DM Sans"/>
              <w:color w:val="auto"/>
            </w:rPr>
            <w:t>.</w:t>
          </w:r>
          <w:r w:rsidRPr="009D30E3">
            <w:rPr>
              <w:rStyle w:val="FootnoteReference"/>
              <w:rFonts w:ascii="DM Sans" w:hAnsi="DM Sans"/>
              <w:color w:val="auto"/>
            </w:rPr>
            <w:footnoteReference w:id="27"/>
          </w:r>
        </w:p>
        <w:p w14:paraId="383240EC"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7AF172ED" w14:textId="77777777" w:rsidR="008C7EFA" w:rsidRPr="009D30E3" w:rsidRDefault="008C7EFA" w:rsidP="008C7EFA">
          <w:pPr>
            <w:numPr>
              <w:ilvl w:val="0"/>
              <w:numId w:val="26"/>
            </w:numPr>
            <w:rPr>
              <w:rFonts w:ascii="DM Sans" w:hAnsi="DM Sans"/>
              <w:color w:val="auto"/>
            </w:rPr>
          </w:pPr>
          <w:r w:rsidRPr="009D30E3">
            <w:rPr>
              <w:rFonts w:ascii="DM Sans" w:hAnsi="DM Sans"/>
              <w:color w:val="auto"/>
            </w:rPr>
            <w:t>Taking or controlling DSP payments, including withholding funds needed for food, medication, or disability-related equipment</w:t>
          </w:r>
        </w:p>
        <w:p w14:paraId="1BD2DC18" w14:textId="77777777" w:rsidR="008C7EFA" w:rsidRPr="009D30E3" w:rsidRDefault="008C7EFA" w:rsidP="008C7EFA">
          <w:pPr>
            <w:numPr>
              <w:ilvl w:val="0"/>
              <w:numId w:val="26"/>
            </w:numPr>
            <w:rPr>
              <w:rFonts w:ascii="DM Sans" w:hAnsi="DM Sans"/>
              <w:color w:val="auto"/>
            </w:rPr>
          </w:pPr>
          <w:r w:rsidRPr="009D30E3">
            <w:rPr>
              <w:rFonts w:ascii="DM Sans" w:hAnsi="DM Sans"/>
              <w:color w:val="auto"/>
            </w:rPr>
            <w:t>Redirecting DSP payments to accounts controlled by the adult using family violence, including misusing PIN access when assisting with banking</w:t>
          </w:r>
          <w:r w:rsidRPr="009D30E3">
            <w:rPr>
              <w:rStyle w:val="FootnoteReference"/>
              <w:rFonts w:ascii="DM Sans" w:hAnsi="DM Sans"/>
              <w:color w:val="auto"/>
            </w:rPr>
            <w:footnoteReference w:id="28"/>
          </w:r>
        </w:p>
        <w:p w14:paraId="03525113" w14:textId="77777777" w:rsidR="008C7EFA" w:rsidRPr="009D30E3" w:rsidRDefault="008C7EFA" w:rsidP="008C7EFA">
          <w:pPr>
            <w:numPr>
              <w:ilvl w:val="0"/>
              <w:numId w:val="26"/>
            </w:numPr>
            <w:rPr>
              <w:rFonts w:ascii="DM Sans" w:hAnsi="DM Sans"/>
              <w:color w:val="auto"/>
            </w:rPr>
          </w:pPr>
          <w:r w:rsidRPr="009D30E3">
            <w:rPr>
              <w:rFonts w:ascii="DM Sans" w:hAnsi="DM Sans"/>
              <w:color w:val="auto"/>
            </w:rPr>
            <w:t>Exploiting the Centrelink tip-off system by threatening to report the victim survivor for "fraud," knowing this threat alone can cause significant fear and compliance</w:t>
          </w:r>
          <w:r w:rsidRPr="009D30E3">
            <w:rPr>
              <w:rStyle w:val="FootnoteReference"/>
              <w:rFonts w:ascii="DM Sans" w:hAnsi="DM Sans"/>
              <w:color w:val="auto"/>
            </w:rPr>
            <w:footnoteReference w:id="29"/>
          </w:r>
        </w:p>
        <w:p w14:paraId="07FCFCE7" w14:textId="7A3C26F7" w:rsidR="008C7EFA" w:rsidRPr="009D30E3" w:rsidRDefault="008C7EFA" w:rsidP="008C7EFA">
          <w:pPr>
            <w:numPr>
              <w:ilvl w:val="0"/>
              <w:numId w:val="26"/>
            </w:numPr>
            <w:rPr>
              <w:rFonts w:ascii="DM Sans" w:hAnsi="DM Sans"/>
              <w:color w:val="auto"/>
            </w:rPr>
          </w:pPr>
          <w:r w:rsidRPr="009D30E3">
            <w:rPr>
              <w:rFonts w:ascii="DM Sans" w:hAnsi="DM Sans"/>
              <w:color w:val="auto"/>
            </w:rPr>
            <w:lastRenderedPageBreak/>
            <w:t>Using knowledge of DSP eligibility requirements to threaten payment cancellation or review</w:t>
          </w:r>
          <w:r w:rsidRPr="009D30E3">
            <w:rPr>
              <w:rStyle w:val="FootnoteReference"/>
              <w:rFonts w:ascii="DM Sans" w:hAnsi="DM Sans"/>
              <w:color w:val="auto"/>
            </w:rPr>
            <w:footnoteReference w:id="30"/>
          </w:r>
        </w:p>
        <w:p w14:paraId="0F7EE9D6" w14:textId="77777777" w:rsidR="008C7EFA" w:rsidRPr="009D30E3" w:rsidRDefault="008C7EFA" w:rsidP="00056612">
          <w:pPr>
            <w:pStyle w:val="Heading4"/>
          </w:pPr>
          <w:r w:rsidRPr="009D30E3">
            <w:t>Guiding questions for practitioners</w:t>
          </w:r>
        </w:p>
        <w:p w14:paraId="12DD7EE4"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Can you tell me how your finances are managed day to day? Things like who receives your payments, who can access your accounts, and how decisions about money get made?</w:t>
          </w:r>
        </w:p>
        <w:p w14:paraId="5659B859"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 you have enough money for what you need, including food, medication, and equipment?</w:t>
          </w:r>
        </w:p>
        <w:p w14:paraId="4B02036A"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threatened to report you to Centrelink or contact them about your payments?</w:t>
          </w:r>
        </w:p>
        <w:p w14:paraId="2749C9D5"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For people with cognitive disabilities or substitute decision-making arrangements: who</w:t>
          </w:r>
          <w:r w:rsidRPr="009D30E3">
            <w:rPr>
              <w:rFonts w:ascii="DM Sans" w:hAnsi="DM Sans"/>
              <w:color w:val="auto"/>
              <w:sz w:val="24"/>
              <w:szCs w:val="24"/>
            </w:rPr>
            <w:t xml:space="preserve"> manages your finances, and did you choose that arrangement?</w:t>
          </w:r>
        </w:p>
        <w:p w14:paraId="54D0BF6D" w14:textId="77777777" w:rsidR="008C7EFA" w:rsidRPr="009D30E3" w:rsidRDefault="008C7EFA" w:rsidP="00056612">
          <w:pPr>
            <w:pStyle w:val="Heading3"/>
          </w:pPr>
          <w:bookmarkStart w:id="11" w:name="_Carer_Payment_Weaponisation"/>
          <w:bookmarkStart w:id="12" w:name="_Toc240894258"/>
          <w:r w:rsidRPr="009D30E3">
            <w:t>Carer Payment Weaponisation</w:t>
          </w:r>
          <w:bookmarkEnd w:id="11"/>
          <w:bookmarkEnd w:id="12"/>
        </w:p>
        <w:p w14:paraId="209A571D" w14:textId="77777777" w:rsidR="004572BE" w:rsidRPr="009D30E3" w:rsidRDefault="008C7EFA" w:rsidP="004572BE">
          <w:pPr>
            <w:rPr>
              <w:rFonts w:ascii="DM Sans" w:hAnsi="DM Sans"/>
              <w:color w:val="auto"/>
            </w:rPr>
          </w:pPr>
          <w:r w:rsidRPr="009D30E3">
            <w:rPr>
              <w:rFonts w:ascii="DM Sans" w:hAnsi="DM Sans"/>
              <w:color w:val="auto"/>
            </w:rPr>
            <w:t xml:space="preserve">When adults using family violence receive Carer Payment or Carer Allowance, they may </w:t>
          </w:r>
          <w:proofErr w:type="spellStart"/>
          <w:r w:rsidRPr="009D30E3">
            <w:rPr>
              <w:rFonts w:ascii="DM Sans" w:hAnsi="DM Sans"/>
              <w:color w:val="auto"/>
            </w:rPr>
            <w:t>weaponise</w:t>
          </w:r>
          <w:proofErr w:type="spellEnd"/>
          <w:r w:rsidRPr="009D30E3">
            <w:rPr>
              <w:rFonts w:ascii="DM Sans" w:hAnsi="DM Sans"/>
              <w:color w:val="auto"/>
            </w:rPr>
            <w:t xml:space="preserve"> their "carer" status to justify control over all aspects of the victim survivor's life, exploiting the caring relationship as a tool of coercive control</w:t>
          </w:r>
          <w:r w:rsidR="004572BE" w:rsidRPr="009D30E3">
            <w:rPr>
              <w:rFonts w:ascii="DM Sans" w:hAnsi="DM Sans"/>
              <w:color w:val="auto"/>
            </w:rPr>
            <w:t>.</w:t>
          </w:r>
          <w:r w:rsidRPr="009D30E3">
            <w:rPr>
              <w:rStyle w:val="FootnoteReference"/>
              <w:rFonts w:ascii="DM Sans" w:hAnsi="DM Sans"/>
              <w:color w:val="auto"/>
            </w:rPr>
            <w:footnoteReference w:id="31"/>
          </w:r>
        </w:p>
        <w:p w14:paraId="033B1A97" w14:textId="697DF7DA" w:rsidR="008C7EFA" w:rsidRPr="009D30E3" w:rsidRDefault="008C7EFA" w:rsidP="004572BE">
          <w:pPr>
            <w:rPr>
              <w:rFonts w:ascii="DM Sans" w:hAnsi="DM Sans"/>
              <w:color w:val="auto"/>
            </w:rPr>
          </w:pPr>
          <w:r w:rsidRPr="009D30E3">
            <w:rPr>
              <w:rFonts w:ascii="DM Sans" w:hAnsi="DM Sans"/>
              <w:color w:val="auto"/>
            </w:rPr>
            <w:t>Common behaviours include:</w:t>
          </w:r>
        </w:p>
        <w:p w14:paraId="0D77D180" w14:textId="77777777" w:rsidR="008C7EFA" w:rsidRPr="009D30E3" w:rsidRDefault="008C7EFA" w:rsidP="008C7EFA">
          <w:pPr>
            <w:numPr>
              <w:ilvl w:val="0"/>
              <w:numId w:val="27"/>
            </w:numPr>
            <w:rPr>
              <w:rFonts w:ascii="DM Sans" w:hAnsi="DM Sans"/>
              <w:color w:val="auto"/>
            </w:rPr>
          </w:pPr>
          <w:r w:rsidRPr="009D30E3">
            <w:rPr>
              <w:rFonts w:ascii="DM Sans" w:hAnsi="DM Sans"/>
              <w:color w:val="auto"/>
            </w:rPr>
            <w:t>Using receipt of Carer Payment to claim authority over the victim survivor's daily decisions, movements, relationships, and access to services</w:t>
          </w:r>
        </w:p>
        <w:p w14:paraId="48ACC949" w14:textId="77777777" w:rsidR="008C7EFA" w:rsidRPr="009D30E3" w:rsidRDefault="008C7EFA" w:rsidP="008C7EFA">
          <w:pPr>
            <w:numPr>
              <w:ilvl w:val="0"/>
              <w:numId w:val="27"/>
            </w:numPr>
            <w:rPr>
              <w:rFonts w:ascii="DM Sans" w:hAnsi="DM Sans"/>
              <w:color w:val="auto"/>
            </w:rPr>
          </w:pPr>
          <w:r w:rsidRPr="009D30E3">
            <w:rPr>
              <w:rFonts w:ascii="DM Sans" w:hAnsi="DM Sans"/>
              <w:color w:val="auto"/>
            </w:rPr>
            <w:t>Threatening to withdraw essential care as punishment or to enforce compliance</w:t>
          </w:r>
        </w:p>
        <w:p w14:paraId="27B2BF53" w14:textId="77777777" w:rsidR="008C7EFA" w:rsidRPr="009D30E3" w:rsidRDefault="008C7EFA" w:rsidP="008C7EFA">
          <w:pPr>
            <w:numPr>
              <w:ilvl w:val="0"/>
              <w:numId w:val="27"/>
            </w:numPr>
            <w:rPr>
              <w:rFonts w:ascii="DM Sans" w:hAnsi="DM Sans"/>
              <w:color w:val="auto"/>
            </w:rPr>
          </w:pPr>
          <w:r w:rsidRPr="009D30E3">
            <w:rPr>
              <w:rFonts w:ascii="DM Sans" w:hAnsi="DM Sans"/>
              <w:color w:val="auto"/>
            </w:rPr>
            <w:t>Receiving Carer Payment without providing required care, or providing only minimal care while retaining the payment</w:t>
          </w:r>
        </w:p>
        <w:p w14:paraId="0F62A9C6" w14:textId="77777777" w:rsidR="008C7EFA" w:rsidRPr="009D30E3" w:rsidRDefault="008C7EFA" w:rsidP="008C7EFA">
          <w:pPr>
            <w:numPr>
              <w:ilvl w:val="0"/>
              <w:numId w:val="27"/>
            </w:numPr>
            <w:rPr>
              <w:rFonts w:ascii="DM Sans" w:hAnsi="DM Sans"/>
              <w:color w:val="auto"/>
            </w:rPr>
          </w:pPr>
          <w:r w:rsidRPr="009D30E3">
            <w:rPr>
              <w:rFonts w:ascii="DM Sans" w:hAnsi="DM Sans"/>
              <w:color w:val="auto"/>
            </w:rPr>
            <w:t>Leveraging "carer" status to access and control the victim survivor's other financial supports, accounts, and benefits</w:t>
          </w:r>
          <w:r w:rsidRPr="009D30E3">
            <w:rPr>
              <w:rStyle w:val="FootnoteReference"/>
              <w:rFonts w:ascii="DM Sans" w:hAnsi="DM Sans"/>
              <w:color w:val="auto"/>
            </w:rPr>
            <w:footnoteReference w:id="32"/>
          </w:r>
        </w:p>
        <w:p w14:paraId="5717C381" w14:textId="77777777" w:rsidR="008C7EFA" w:rsidRPr="009D30E3" w:rsidRDefault="008C7EFA" w:rsidP="00056612">
          <w:pPr>
            <w:pStyle w:val="Heading4"/>
          </w:pPr>
          <w:r w:rsidRPr="009D30E3">
            <w:t>Guiding questions for practitioners</w:t>
          </w:r>
        </w:p>
        <w:p w14:paraId="45B41D01"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Are you receiving the care and support you need by the person receiving Carer Payments?</w:t>
          </w:r>
        </w:p>
        <w:p w14:paraId="29C993D8"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lastRenderedPageBreak/>
            <w:t xml:space="preserve">Has anyone used their carer role to access or control your other payments or financial accounts? </w:t>
          </w:r>
        </w:p>
        <w:p w14:paraId="35398F33" w14:textId="77777777" w:rsidR="008C7EFA" w:rsidRPr="009D30E3" w:rsidRDefault="008C7EFA" w:rsidP="008C7EFA">
          <w:pPr>
            <w:numPr>
              <w:ilvl w:val="0"/>
              <w:numId w:val="24"/>
            </w:numPr>
            <w:rPr>
              <w:rFonts w:ascii="DM Sans" w:hAnsi="DM Sans"/>
              <w:color w:val="auto"/>
              <w:sz w:val="20"/>
              <w:szCs w:val="20"/>
            </w:rPr>
          </w:pPr>
          <w:r w:rsidRPr="009D30E3">
            <w:rPr>
              <w:rFonts w:ascii="DM Sans" w:hAnsi="DM Sans"/>
              <w:color w:val="auto"/>
            </w:rPr>
            <w:t>Do you make your own decisions, or does your carer make decisions on your behalf without asking you?</w:t>
          </w:r>
        </w:p>
        <w:p w14:paraId="194C2B2D" w14:textId="77777777" w:rsidR="00056612" w:rsidRPr="009D30E3" w:rsidRDefault="00056612" w:rsidP="00056612">
          <w:pPr>
            <w:pStyle w:val="Heading1"/>
            <w:rPr>
              <w:rFonts w:ascii="DM Sans" w:hAnsi="DM Sans"/>
            </w:rPr>
          </w:pPr>
          <w:bookmarkStart w:id="13" w:name="_Toc240894259"/>
          <w:r w:rsidRPr="009D30E3">
            <w:rPr>
              <w:rFonts w:ascii="DM Sans" w:hAnsi="DM Sans"/>
            </w:rPr>
            <w:t>Risk factors for adult or child victim survivors caused by perpetrator behaviours</w:t>
          </w:r>
          <w:bookmarkEnd w:id="13"/>
        </w:p>
        <w:p w14:paraId="7C37672C" w14:textId="6D263EB9" w:rsidR="008C7EFA" w:rsidRPr="009D30E3" w:rsidRDefault="008C7EFA" w:rsidP="00056612">
          <w:pPr>
            <w:pStyle w:val="Heading2"/>
          </w:pPr>
          <w:bookmarkStart w:id="14" w:name="_Toc240894260"/>
          <w:r w:rsidRPr="009D30E3">
            <w:t>Controlling Behaviours</w:t>
          </w:r>
          <w:r w:rsidR="00056612" w:rsidRPr="009D30E3">
            <w:t xml:space="preserve"> (serious risk factor)</w:t>
          </w:r>
          <w:bookmarkEnd w:id="14"/>
        </w:p>
        <w:p w14:paraId="2BC906AD" w14:textId="77777777" w:rsidR="008C7EFA" w:rsidRPr="009D30E3" w:rsidRDefault="008C7EFA" w:rsidP="008C7EFA">
          <w:pPr>
            <w:rPr>
              <w:rFonts w:ascii="DM Sans" w:hAnsi="DM Sans"/>
              <w:color w:val="auto"/>
              <w:sz w:val="20"/>
              <w:szCs w:val="20"/>
            </w:rPr>
          </w:pPr>
          <w:r w:rsidRPr="009D30E3">
            <w:rPr>
              <w:rFonts w:ascii="DM Sans" w:hAnsi="DM Sans"/>
              <w:color w:val="auto"/>
            </w:rPr>
            <w:t xml:space="preserve">Use of controlling behaviours is strongly linked to homicide. Perpetrators who feel entitled to get their way, irrespective of the views and needs of, or impact on, others are more likely to use various forms of violence against their victim, including sexual violence. </w:t>
          </w:r>
        </w:p>
        <w:p w14:paraId="5A11F7E8" w14:textId="77777777" w:rsidR="008C7EFA" w:rsidRPr="009D30E3" w:rsidRDefault="008C7EFA" w:rsidP="008C7EFA">
          <w:pPr>
            <w:keepNext/>
            <w:rPr>
              <w:rFonts w:ascii="DM Sans" w:hAnsi="DM Sans"/>
              <w:color w:val="auto"/>
            </w:rPr>
          </w:pPr>
          <w:r w:rsidRPr="009D30E3">
            <w:rPr>
              <w:rFonts w:ascii="DM Sans" w:hAnsi="DM Sans"/>
              <w:color w:val="auto"/>
            </w:rPr>
            <w:t>Controlling behaviours in context for victim survivors with disabilities:</w:t>
          </w:r>
        </w:p>
        <w:p w14:paraId="7E60700B" w14:textId="77777777" w:rsidR="008C7EFA" w:rsidRPr="009D30E3" w:rsidRDefault="008C7EFA" w:rsidP="00056612">
          <w:pPr>
            <w:pStyle w:val="Heading3"/>
          </w:pPr>
          <w:bookmarkStart w:id="15" w:name="_Restrictive_Practices"/>
          <w:bookmarkStart w:id="16" w:name="_Toc240894261"/>
          <w:r w:rsidRPr="009D30E3">
            <w:t>Restrictive Practices</w:t>
          </w:r>
          <w:bookmarkEnd w:id="15"/>
          <w:bookmarkEnd w:id="16"/>
        </w:p>
        <w:p w14:paraId="54B7645C" w14:textId="70A5DF43" w:rsidR="008C7EFA" w:rsidRPr="009D30E3" w:rsidRDefault="008C7EFA" w:rsidP="008C7EFA">
          <w:pPr>
            <w:rPr>
              <w:rFonts w:ascii="DM Sans" w:hAnsi="DM Sans"/>
              <w:color w:val="auto"/>
            </w:rPr>
          </w:pPr>
          <w:r w:rsidRPr="009D30E3">
            <w:rPr>
              <w:rFonts w:ascii="DM Sans" w:hAnsi="DM Sans"/>
              <w:color w:val="auto"/>
            </w:rPr>
            <w:t>Adults using family violence may misuse restrictive practices as tools of coercive control, physically, chemically, or environmentally limiting a victim survivor's rights, autonomy, and freedom of movement. These actions are often framed as necessary care, safety measures, or behaviour management, and in some contexts are authorised within service systems or laws, making it harder for victim survivors to name or challenge the violence they experience</w:t>
          </w:r>
          <w:r w:rsidR="004572BE" w:rsidRPr="009D30E3">
            <w:rPr>
              <w:rFonts w:ascii="DM Sans" w:hAnsi="DM Sans"/>
              <w:color w:val="auto"/>
            </w:rPr>
            <w:t xml:space="preserve">. </w:t>
          </w:r>
          <w:r w:rsidRPr="009D30E3">
            <w:rPr>
              <w:rStyle w:val="FootnoteReference"/>
              <w:rFonts w:ascii="DM Sans" w:hAnsi="DM Sans"/>
              <w:color w:val="auto"/>
            </w:rPr>
            <w:footnoteReference w:id="33"/>
          </w:r>
        </w:p>
        <w:p w14:paraId="1A91FBC2" w14:textId="77777777" w:rsidR="008C7EFA" w:rsidRPr="009D30E3" w:rsidRDefault="008C7EFA" w:rsidP="008C7EFA">
          <w:pPr>
            <w:keepNext/>
            <w:rPr>
              <w:rFonts w:ascii="DM Sans" w:hAnsi="DM Sans"/>
              <w:color w:val="auto"/>
            </w:rPr>
          </w:pPr>
          <w:r w:rsidRPr="009D30E3">
            <w:rPr>
              <w:rFonts w:ascii="DM Sans" w:hAnsi="DM Sans"/>
              <w:color w:val="auto"/>
            </w:rPr>
            <w:t>Restrictive practices can include:</w:t>
          </w:r>
        </w:p>
        <w:p w14:paraId="6D740F40" w14:textId="77777777" w:rsidR="008C7EFA" w:rsidRPr="009D30E3" w:rsidRDefault="008C7EFA" w:rsidP="008C7EFA">
          <w:pPr>
            <w:numPr>
              <w:ilvl w:val="0"/>
              <w:numId w:val="28"/>
            </w:numPr>
            <w:rPr>
              <w:rFonts w:ascii="DM Sans" w:hAnsi="DM Sans"/>
              <w:color w:val="auto"/>
            </w:rPr>
          </w:pPr>
          <w:r w:rsidRPr="009D30E3">
            <w:rPr>
              <w:rFonts w:ascii="DM Sans" w:hAnsi="DM Sans"/>
              <w:color w:val="auto"/>
            </w:rPr>
            <w:t>Physical restraint: using one's body to restrict movement</w:t>
          </w:r>
        </w:p>
        <w:p w14:paraId="1879F8EC" w14:textId="77777777" w:rsidR="008C7EFA" w:rsidRPr="009D30E3" w:rsidRDefault="008C7EFA" w:rsidP="008C7EFA">
          <w:pPr>
            <w:numPr>
              <w:ilvl w:val="0"/>
              <w:numId w:val="28"/>
            </w:numPr>
            <w:rPr>
              <w:rFonts w:ascii="DM Sans" w:hAnsi="DM Sans"/>
              <w:color w:val="auto"/>
            </w:rPr>
          </w:pPr>
          <w:r w:rsidRPr="009D30E3">
            <w:rPr>
              <w:rFonts w:ascii="DM Sans" w:hAnsi="DM Sans"/>
              <w:color w:val="auto"/>
            </w:rPr>
            <w:t>Mechanical restraint: using equipment or devices to restrict movement</w:t>
          </w:r>
        </w:p>
        <w:p w14:paraId="1A4F3427" w14:textId="77777777" w:rsidR="008C7EFA" w:rsidRPr="009D30E3" w:rsidRDefault="008C7EFA" w:rsidP="008C7EFA">
          <w:pPr>
            <w:numPr>
              <w:ilvl w:val="0"/>
              <w:numId w:val="28"/>
            </w:numPr>
            <w:rPr>
              <w:rFonts w:ascii="DM Sans" w:hAnsi="DM Sans"/>
              <w:color w:val="auto"/>
            </w:rPr>
          </w:pPr>
          <w:r w:rsidRPr="009D30E3">
            <w:rPr>
              <w:rFonts w:ascii="DM Sans" w:hAnsi="DM Sans"/>
              <w:color w:val="auto"/>
            </w:rPr>
            <w:t>Chemical restraint: using medication or sedatives to control or subdue</w:t>
          </w:r>
        </w:p>
        <w:p w14:paraId="6B907B68" w14:textId="77777777" w:rsidR="008C7EFA" w:rsidRPr="009D30E3" w:rsidRDefault="008C7EFA" w:rsidP="008C7EFA">
          <w:pPr>
            <w:numPr>
              <w:ilvl w:val="0"/>
              <w:numId w:val="28"/>
            </w:numPr>
            <w:rPr>
              <w:rFonts w:ascii="DM Sans" w:hAnsi="DM Sans"/>
              <w:color w:val="auto"/>
            </w:rPr>
          </w:pPr>
          <w:r w:rsidRPr="009D30E3">
            <w:rPr>
              <w:rFonts w:ascii="DM Sans" w:hAnsi="DM Sans"/>
              <w:color w:val="auto"/>
            </w:rPr>
            <w:t>Seclusion: confining a person in a room or area they cannot freely leave</w:t>
          </w:r>
        </w:p>
        <w:p w14:paraId="20DB2A50" w14:textId="77777777" w:rsidR="008C7EFA" w:rsidRPr="009D30E3" w:rsidRDefault="008C7EFA" w:rsidP="008C7EFA">
          <w:pPr>
            <w:numPr>
              <w:ilvl w:val="0"/>
              <w:numId w:val="28"/>
            </w:numPr>
            <w:rPr>
              <w:rFonts w:ascii="DM Sans" w:hAnsi="DM Sans"/>
              <w:color w:val="auto"/>
            </w:rPr>
          </w:pPr>
          <w:r w:rsidRPr="009D30E3">
            <w:rPr>
              <w:rFonts w:ascii="DM Sans" w:hAnsi="DM Sans"/>
              <w:color w:val="auto"/>
            </w:rPr>
            <w:t>Environmental restraint: limiting access to the community, areas of the home, or personal belongings including mobility or communication aids</w:t>
          </w:r>
          <w:r w:rsidRPr="009D30E3">
            <w:rPr>
              <w:rStyle w:val="FootnoteReference"/>
              <w:rFonts w:ascii="DM Sans" w:hAnsi="DM Sans"/>
              <w:color w:val="auto"/>
            </w:rPr>
            <w:footnoteReference w:id="34"/>
          </w:r>
        </w:p>
        <w:p w14:paraId="0E076188" w14:textId="77777777" w:rsidR="008C7EFA" w:rsidRPr="009D30E3" w:rsidRDefault="008C7EFA" w:rsidP="00056612">
          <w:pPr>
            <w:pStyle w:val="Heading4"/>
          </w:pPr>
          <w:r w:rsidRPr="009D30E3">
            <w:lastRenderedPageBreak/>
            <w:t>Guiding questions for practitioners</w:t>
          </w:r>
        </w:p>
        <w:p w14:paraId="4C35563A"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 xml:space="preserve">Can you tell me about your </w:t>
          </w:r>
          <w:proofErr w:type="gramStart"/>
          <w:r w:rsidRPr="009D30E3">
            <w:rPr>
              <w:rFonts w:ascii="DM Sans" w:hAnsi="DM Sans"/>
              <w:color w:val="auto"/>
            </w:rPr>
            <w:t>day to day</w:t>
          </w:r>
          <w:proofErr w:type="gramEnd"/>
          <w:r w:rsidRPr="009D30E3">
            <w:rPr>
              <w:rFonts w:ascii="DM Sans" w:hAnsi="DM Sans"/>
              <w:color w:val="auto"/>
            </w:rPr>
            <w:t xml:space="preserve"> life at home, where you can go, what spaces and belongings you can access, and whether you need support to move around?</w:t>
          </w:r>
        </w:p>
        <w:p w14:paraId="3539D546"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Does anyone restrict your access to your mobility aids, communication devices, or other equipment you need?</w:t>
          </w:r>
        </w:p>
        <w:p w14:paraId="06B7AEFB"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locked you in a room or prevented you from leaving spaces in your home?</w:t>
          </w:r>
        </w:p>
        <w:p w14:paraId="4FC090C6"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Does anyone physically restrain you or use equipment to restrict your movement?</w:t>
          </w:r>
        </w:p>
        <w:p w14:paraId="297EE19C" w14:textId="77777777" w:rsidR="008C7EFA" w:rsidRPr="009D30E3" w:rsidRDefault="008C7EFA" w:rsidP="00056612">
          <w:pPr>
            <w:pStyle w:val="Heading3"/>
          </w:pPr>
          <w:bookmarkStart w:id="17" w:name="_Medical_exploitation_and"/>
          <w:bookmarkStart w:id="18" w:name="_Toc240894262"/>
          <w:r w:rsidRPr="009D30E3">
            <w:t>Medical exploitation and control</w:t>
          </w:r>
          <w:bookmarkEnd w:id="17"/>
          <w:bookmarkEnd w:id="18"/>
        </w:p>
        <w:p w14:paraId="03A1E3CF" w14:textId="252952B3" w:rsidR="008C7EFA" w:rsidRPr="009D30E3" w:rsidRDefault="008C7EFA" w:rsidP="008C7EFA">
          <w:pPr>
            <w:rPr>
              <w:rFonts w:ascii="DM Sans" w:hAnsi="DM Sans"/>
              <w:color w:val="auto"/>
            </w:rPr>
          </w:pPr>
          <w:r w:rsidRPr="009D30E3">
            <w:rPr>
              <w:rFonts w:ascii="DM Sans" w:hAnsi="DM Sans"/>
              <w:color w:val="auto"/>
            </w:rPr>
            <w:t>Medical control is a recognised form of violence against people with disabilities that involves acts, treatments, or procedures that interfere with a person's autonomy to make decisions about their own health</w:t>
          </w:r>
          <w:r w:rsidR="004572BE" w:rsidRPr="009D30E3">
            <w:rPr>
              <w:rFonts w:ascii="DM Sans" w:hAnsi="DM Sans"/>
              <w:color w:val="auto"/>
            </w:rPr>
            <w:t>.</w:t>
          </w:r>
          <w:r w:rsidRPr="009D30E3">
            <w:rPr>
              <w:rStyle w:val="FootnoteReference"/>
              <w:rFonts w:ascii="DM Sans" w:hAnsi="DM Sans"/>
              <w:color w:val="auto"/>
            </w:rPr>
            <w:footnoteReference w:id="35"/>
          </w:r>
          <w:r w:rsidRPr="009D30E3">
            <w:rPr>
              <w:rFonts w:ascii="DM Sans" w:hAnsi="DM Sans"/>
              <w:color w:val="auto"/>
            </w:rPr>
            <w:t xml:space="preserve"> Adults using family violence exploit ableist attitudes and medical systems to erode bodily autonomy, using healthcare as a site of coercive control. </w:t>
          </w:r>
        </w:p>
        <w:p w14:paraId="74AD3046" w14:textId="77777777" w:rsidR="008C7EFA" w:rsidRPr="009D30E3" w:rsidRDefault="008C7EFA" w:rsidP="008C7EFA">
          <w:pPr>
            <w:keepNext/>
            <w:rPr>
              <w:rFonts w:ascii="DM Sans" w:hAnsi="DM Sans"/>
              <w:color w:val="auto"/>
            </w:rPr>
          </w:pPr>
          <w:r w:rsidRPr="009D30E3">
            <w:rPr>
              <w:rFonts w:ascii="DM Sans" w:hAnsi="DM Sans"/>
              <w:color w:val="auto"/>
            </w:rPr>
            <w:t>Examples of medical control include:</w:t>
          </w:r>
        </w:p>
        <w:p w14:paraId="3321D07C"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Forcing unwanted medical treatments or procedures without the person's knowledge or consent</w:t>
          </w:r>
        </w:p>
        <w:p w14:paraId="334803FB"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Forcing or coercing psychiatric interventions or treatments without the person's knowledge or consent</w:t>
          </w:r>
        </w:p>
        <w:p w14:paraId="6CCD9357"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Withholding or restricting access to essential medications, treatments, or medical equipment</w:t>
          </w:r>
        </w:p>
        <w:p w14:paraId="259A64AC"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Manipulating medication dosages for coercive control. For example, over or under-medicating to sedate, discredit, or destabilise the person</w:t>
          </w:r>
          <w:r w:rsidRPr="009D30E3">
            <w:rPr>
              <w:rStyle w:val="FootnoteReference"/>
              <w:rFonts w:ascii="DM Sans" w:hAnsi="DM Sans"/>
              <w:color w:val="auto"/>
            </w:rPr>
            <w:footnoteReference w:id="36"/>
          </w:r>
        </w:p>
        <w:p w14:paraId="2F14DBE6"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Controlling or preventing access to healthcare providers and medical appointments</w:t>
          </w:r>
        </w:p>
        <w:p w14:paraId="4E44CFFC"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Sabotaging, hiding, or withholding assistive technologies such as wheelchairs, communication devices, or hearing aids</w:t>
          </w:r>
        </w:p>
        <w:p w14:paraId="40EBD0B0"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lastRenderedPageBreak/>
            <w:t>Making unilateral decisions about medical care, denying the person's right to choice and informed consent</w:t>
          </w:r>
          <w:r w:rsidRPr="009D30E3">
            <w:rPr>
              <w:rStyle w:val="FootnoteReference"/>
              <w:rFonts w:ascii="DM Sans" w:hAnsi="DM Sans"/>
              <w:color w:val="auto"/>
            </w:rPr>
            <w:footnoteReference w:id="37"/>
          </w:r>
        </w:p>
        <w:p w14:paraId="31B1B71F" w14:textId="77777777" w:rsidR="008C7EFA" w:rsidRPr="009D30E3" w:rsidRDefault="008C7EFA" w:rsidP="008C7EFA">
          <w:pPr>
            <w:numPr>
              <w:ilvl w:val="0"/>
              <w:numId w:val="29"/>
            </w:numPr>
            <w:rPr>
              <w:rFonts w:ascii="DM Sans" w:hAnsi="DM Sans"/>
              <w:color w:val="auto"/>
            </w:rPr>
          </w:pPr>
          <w:r w:rsidRPr="009D30E3">
            <w:rPr>
              <w:rFonts w:ascii="DM Sans" w:hAnsi="DM Sans"/>
              <w:color w:val="auto"/>
            </w:rPr>
            <w:t xml:space="preserve">Preventing access to reproductive healthcare or contraception </w:t>
          </w:r>
        </w:p>
        <w:p w14:paraId="485FE658" w14:textId="77777777" w:rsidR="008C7EFA" w:rsidRPr="009D30E3" w:rsidRDefault="008C7EFA" w:rsidP="00056612">
          <w:pPr>
            <w:pStyle w:val="Heading4"/>
          </w:pPr>
          <w:r w:rsidRPr="009D30E3">
            <w:t>Guiding questions for practitioners</w:t>
          </w:r>
        </w:p>
        <w:p w14:paraId="2214A200"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 you have a say in decisions about your medication and medical care, including who you see and what treatments you have?</w:t>
          </w:r>
        </w:p>
        <w:p w14:paraId="0C97A049"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Are you able to see doctors or health professionals alone?</w:t>
          </w:r>
        </w:p>
        <w:p w14:paraId="2FECD288"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forced, withheld, or tampered with your medication, medical treatment, or assistive technology?</w:t>
          </w:r>
        </w:p>
        <w:p w14:paraId="2B558639" w14:textId="77777777" w:rsidR="008C7EFA" w:rsidRPr="009D30E3" w:rsidRDefault="008C7EFA" w:rsidP="00056612">
          <w:pPr>
            <w:pStyle w:val="Heading3"/>
          </w:pPr>
          <w:bookmarkStart w:id="19" w:name="_Reproductive_Coercion"/>
          <w:bookmarkStart w:id="20" w:name="_Toc240894263"/>
          <w:r w:rsidRPr="009D30E3">
            <w:t>Reproductive Coercion</w:t>
          </w:r>
          <w:bookmarkEnd w:id="19"/>
          <w:bookmarkEnd w:id="20"/>
        </w:p>
        <w:p w14:paraId="0B0AF1E2" w14:textId="348EC8B3" w:rsidR="008C7EFA" w:rsidRPr="009D30E3" w:rsidRDefault="008C7EFA" w:rsidP="008C7EFA">
          <w:pPr>
            <w:rPr>
              <w:rFonts w:ascii="DM Sans" w:hAnsi="DM Sans"/>
              <w:color w:val="auto"/>
            </w:rPr>
          </w:pPr>
          <w:r w:rsidRPr="009D30E3">
            <w:rPr>
              <w:rFonts w:ascii="DM Sans" w:hAnsi="DM Sans"/>
              <w:color w:val="auto"/>
            </w:rPr>
            <w:t>Reproductive coercion involves deliberate interference with a person's reproductive autonomy and decision-making. For people with disabilities, reproductive coercion is rooted in the history and ongoing practices of reproductive violence. The Royal Commission documented that women and girls with disabilities continue to be subjected to involuntary sterilisation and irreversible procedures performed without full, free, and informed consent</w:t>
          </w:r>
          <w:r w:rsidR="004572BE" w:rsidRPr="009D30E3">
            <w:rPr>
              <w:rFonts w:ascii="DM Sans" w:hAnsi="DM Sans"/>
              <w:color w:val="auto"/>
            </w:rPr>
            <w:t>.</w:t>
          </w:r>
          <w:r w:rsidRPr="009D30E3">
            <w:rPr>
              <w:rStyle w:val="FootnoteReference"/>
              <w:rFonts w:ascii="DM Sans" w:hAnsi="DM Sans"/>
              <w:color w:val="auto"/>
            </w:rPr>
            <w:footnoteReference w:id="38"/>
          </w:r>
          <w:r w:rsidRPr="009D30E3">
            <w:rPr>
              <w:rFonts w:ascii="DM Sans" w:hAnsi="DM Sans"/>
              <w:color w:val="auto"/>
            </w:rPr>
            <w:t xml:space="preserve"> </w:t>
          </w:r>
        </w:p>
        <w:p w14:paraId="3DEE0EEB" w14:textId="3EFA1BD1" w:rsidR="008C7EFA" w:rsidRPr="009D30E3" w:rsidRDefault="008C7EFA" w:rsidP="008C7EFA">
          <w:pPr>
            <w:rPr>
              <w:rFonts w:ascii="DM Sans" w:hAnsi="DM Sans"/>
              <w:color w:val="auto"/>
            </w:rPr>
          </w:pPr>
          <w:r w:rsidRPr="009D30E3">
            <w:rPr>
              <w:rFonts w:ascii="DM Sans" w:hAnsi="DM Sans"/>
              <w:color w:val="auto"/>
            </w:rPr>
            <w:t>Women and girls with disabilities are frequently denied their sexual and reproductive rights, including access to information and the ability to make informed decisions about their own fertility, sexuality, and healthcare. This denial is reinforced by ableist and sexist stereotypes that portray women with disabilities as incapable parents who should be prevented from having children, as childlike and in need of protection from sexuality, or as asexual and therefore not needing sexual or reproductive healthcare</w:t>
          </w:r>
          <w:r w:rsidR="004572BE" w:rsidRPr="009D30E3">
            <w:rPr>
              <w:rFonts w:ascii="DM Sans" w:hAnsi="DM Sans"/>
              <w:color w:val="auto"/>
            </w:rPr>
            <w:t>.</w:t>
          </w:r>
          <w:r w:rsidRPr="009D30E3">
            <w:rPr>
              <w:rStyle w:val="FootnoteReference"/>
              <w:rFonts w:ascii="DM Sans" w:hAnsi="DM Sans"/>
              <w:color w:val="auto"/>
            </w:rPr>
            <w:footnoteReference w:id="39"/>
          </w:r>
          <w:r w:rsidRPr="009D30E3">
            <w:rPr>
              <w:rFonts w:ascii="DM Sans" w:hAnsi="DM Sans"/>
              <w:color w:val="auto"/>
            </w:rPr>
            <w:t xml:space="preserve"> </w:t>
          </w:r>
        </w:p>
        <w:p w14:paraId="70BF2077"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6F4D5FED"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Sabotaging, hiding, damaging, or withholding contraception</w:t>
          </w:r>
        </w:p>
        <w:p w14:paraId="0665FA1E"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Refusing to use protection during sexual activity</w:t>
          </w:r>
        </w:p>
        <w:p w14:paraId="1138FD7C"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Forcing or coercing pregnancy, or termination</w:t>
          </w:r>
        </w:p>
        <w:p w14:paraId="52613472"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Forcing or coercing sterilisation or irreversible procedures</w:t>
          </w:r>
        </w:p>
        <w:p w14:paraId="7625CE4E"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lastRenderedPageBreak/>
            <w:t xml:space="preserve">Using long-acting contraception or hormonal treatments to suppress menstruation without consent, for the convenience of others or to manage "behaviours of concern" </w:t>
          </w:r>
        </w:p>
        <w:p w14:paraId="23687ED3"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Controlling or restricting access to reproductive healthcare services</w:t>
          </w:r>
        </w:p>
        <w:p w14:paraId="7AD61B1F"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Preventing access to sexual and reproductive health information</w:t>
          </w:r>
        </w:p>
        <w:p w14:paraId="02DB767E"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 xml:space="preserve">Accompanying medical appointments to monitor or control reproductive health conversations </w:t>
          </w:r>
        </w:p>
        <w:p w14:paraId="385D6790"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Exploiting a carer role to dismiss or override reproductive decisions</w:t>
          </w:r>
        </w:p>
        <w:p w14:paraId="725AC419"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Threatening child removal to suppress reproductive autonomy or maintain control</w:t>
          </w:r>
        </w:p>
        <w:p w14:paraId="1F21DA30" w14:textId="77777777" w:rsidR="008C7EFA" w:rsidRPr="009D30E3" w:rsidRDefault="008C7EFA" w:rsidP="008C7EFA">
          <w:pPr>
            <w:numPr>
              <w:ilvl w:val="0"/>
              <w:numId w:val="30"/>
            </w:numPr>
            <w:rPr>
              <w:rFonts w:ascii="DM Sans" w:hAnsi="DM Sans"/>
              <w:color w:val="auto"/>
            </w:rPr>
          </w:pPr>
          <w:r w:rsidRPr="009D30E3">
            <w:rPr>
              <w:rFonts w:ascii="DM Sans" w:hAnsi="DM Sans"/>
              <w:color w:val="auto"/>
            </w:rPr>
            <w:t>Threatening to withdraw care or support as a mechanism of reproductive control</w:t>
          </w:r>
          <w:r w:rsidRPr="009D30E3">
            <w:rPr>
              <w:rStyle w:val="FootnoteReference"/>
              <w:rFonts w:ascii="DM Sans" w:hAnsi="DM Sans"/>
              <w:color w:val="auto"/>
            </w:rPr>
            <w:footnoteReference w:id="40"/>
          </w:r>
        </w:p>
        <w:p w14:paraId="7A6BE4D1" w14:textId="77777777" w:rsidR="008C7EFA" w:rsidRPr="009D30E3" w:rsidRDefault="008C7EFA" w:rsidP="00056612">
          <w:pPr>
            <w:pStyle w:val="Heading4"/>
          </w:pPr>
          <w:r w:rsidRPr="009D30E3">
            <w:t>Guiding questions for practitioners</w:t>
          </w:r>
        </w:p>
        <w:p w14:paraId="18361040"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Are you able to attend reproductive and sexual health appointments alone?</w:t>
          </w:r>
        </w:p>
        <w:p w14:paraId="6D1A377F"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damaged, hidden, or prevented you from accessing contraception?</w:t>
          </w:r>
        </w:p>
        <w:p w14:paraId="21CFF195"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Is there anyone you would be fearful of if they found out about a pregnancy or a decision you had made about your reproductive health?</w:t>
          </w:r>
        </w:p>
        <w:p w14:paraId="4173B114" w14:textId="77777777" w:rsidR="008C7EFA" w:rsidRPr="009D30E3" w:rsidRDefault="008C7EFA" w:rsidP="008C7EFA">
          <w:pPr>
            <w:rPr>
              <w:rFonts w:ascii="DM Sans" w:hAnsi="DM Sans"/>
              <w:color w:val="auto"/>
            </w:rPr>
          </w:pPr>
          <w:r w:rsidRPr="009D30E3">
            <w:rPr>
              <w:rFonts w:ascii="DM Sans" w:hAnsi="DM Sans"/>
              <w:color w:val="auto"/>
            </w:rPr>
            <w:t>Note: for people with disabilities, reproductive coercion may originate not only from intimate partners or family members but from care systems and institutions.</w:t>
          </w:r>
        </w:p>
        <w:p w14:paraId="0E5D1ED7" w14:textId="77777777" w:rsidR="008C7EFA" w:rsidRPr="009D30E3" w:rsidRDefault="008C7EFA" w:rsidP="00056612">
          <w:pPr>
            <w:pStyle w:val="Heading3"/>
          </w:pPr>
          <w:bookmarkStart w:id="21" w:name="_Toc240894264"/>
          <w:proofErr w:type="spellStart"/>
          <w:r w:rsidRPr="009D30E3">
            <w:t>Weaponising</w:t>
          </w:r>
          <w:proofErr w:type="spellEnd"/>
          <w:r w:rsidRPr="009D30E3">
            <w:t xml:space="preserve"> Child Protection</w:t>
          </w:r>
          <w:bookmarkEnd w:id="21"/>
        </w:p>
        <w:p w14:paraId="2574D807" w14:textId="1033B5F2" w:rsidR="008C7EFA" w:rsidRPr="009D30E3" w:rsidRDefault="008C7EFA" w:rsidP="008C7EFA">
          <w:pPr>
            <w:rPr>
              <w:rFonts w:ascii="DM Sans" w:hAnsi="DM Sans"/>
              <w:color w:val="auto"/>
            </w:rPr>
          </w:pPr>
          <w:r w:rsidRPr="009D30E3">
            <w:rPr>
              <w:rFonts w:ascii="DM Sans" w:hAnsi="DM Sans"/>
              <w:color w:val="auto"/>
            </w:rPr>
            <w:t>Mothers with disabilities in Australia are estimated to be up to ten times more likely to have a child removed from their care, often based on disability status rather than clear evidence of child neglect or abuse</w:t>
          </w:r>
          <w:r w:rsidR="004572BE" w:rsidRPr="009D30E3">
            <w:rPr>
              <w:rFonts w:ascii="DM Sans" w:hAnsi="DM Sans"/>
              <w:color w:val="auto"/>
            </w:rPr>
            <w:t>.</w:t>
          </w:r>
          <w:r w:rsidRPr="009D30E3">
            <w:rPr>
              <w:rStyle w:val="FootnoteReference"/>
              <w:rFonts w:ascii="DM Sans" w:hAnsi="DM Sans"/>
              <w:color w:val="auto"/>
            </w:rPr>
            <w:footnoteReference w:id="41"/>
          </w:r>
          <w:r w:rsidRPr="009D30E3">
            <w:rPr>
              <w:rFonts w:ascii="DM Sans" w:hAnsi="DM Sans"/>
              <w:color w:val="auto"/>
            </w:rPr>
            <w:t xml:space="preserve"> This disproportionate intervention is driven by pervasive ableist and sexist stereotypes portraying women with disabilities as "incapable parents", a stereotype that adults using family violence deliberately exploit as a tool of coercive control</w:t>
          </w:r>
          <w:r w:rsidR="004572BE" w:rsidRPr="009D30E3">
            <w:rPr>
              <w:rFonts w:ascii="DM Sans" w:hAnsi="DM Sans"/>
              <w:color w:val="auto"/>
            </w:rPr>
            <w:t>.</w:t>
          </w:r>
          <w:r w:rsidRPr="009D30E3">
            <w:rPr>
              <w:rStyle w:val="FootnoteReference"/>
              <w:rFonts w:ascii="DM Sans" w:hAnsi="DM Sans"/>
              <w:color w:val="auto"/>
            </w:rPr>
            <w:footnoteReference w:id="42"/>
          </w:r>
          <w:r w:rsidRPr="009D30E3">
            <w:rPr>
              <w:rFonts w:ascii="DM Sans" w:hAnsi="DM Sans"/>
              <w:color w:val="auto"/>
            </w:rPr>
            <w:t xml:space="preserve"> Women with disabilities are routinely afraid to disclose </w:t>
          </w:r>
          <w:r w:rsidRPr="009D30E3">
            <w:rPr>
              <w:rFonts w:ascii="DM Sans" w:hAnsi="DM Sans"/>
              <w:color w:val="auto"/>
            </w:rPr>
            <w:lastRenderedPageBreak/>
            <w:t>their disability to authorities knowing it will negatively affect perceptions of their parenting capacity, creating a profound barrier to seeking help</w:t>
          </w:r>
          <w:r w:rsidR="004572BE" w:rsidRPr="009D30E3">
            <w:rPr>
              <w:rFonts w:ascii="DM Sans" w:hAnsi="DM Sans"/>
              <w:color w:val="auto"/>
            </w:rPr>
            <w:t>.</w:t>
          </w:r>
          <w:r w:rsidRPr="009D30E3">
            <w:rPr>
              <w:rStyle w:val="FootnoteReference"/>
              <w:rFonts w:ascii="DM Sans" w:hAnsi="DM Sans"/>
              <w:color w:val="auto"/>
            </w:rPr>
            <w:footnoteReference w:id="43"/>
          </w:r>
        </w:p>
        <w:p w14:paraId="0E9047AF" w14:textId="3305AC44" w:rsidR="008C7EFA" w:rsidRPr="009D30E3" w:rsidRDefault="008C7EFA" w:rsidP="008C7EFA">
          <w:pPr>
            <w:rPr>
              <w:rFonts w:ascii="DM Sans" w:hAnsi="DM Sans"/>
              <w:color w:val="auto"/>
            </w:rPr>
          </w:pPr>
          <w:r w:rsidRPr="009D30E3">
            <w:rPr>
              <w:rFonts w:ascii="DM Sans" w:hAnsi="DM Sans"/>
              <w:color w:val="auto"/>
            </w:rPr>
            <w:t>Adults using family violence exploit this systemic bias by manufacturing harmful narratives around the mother's parenting while presenting themselves as capable and concerned. They create false evidence through deliberate sabotage such as restricting disability supports, withholding resources, or provoking reactions they selectively record, then use these manufactured issues as proof of “incapacity” in reports to authorities</w:t>
          </w:r>
          <w:r w:rsidR="004572BE" w:rsidRPr="009D30E3">
            <w:rPr>
              <w:rFonts w:ascii="DM Sans" w:hAnsi="DM Sans"/>
              <w:color w:val="auto"/>
            </w:rPr>
            <w:t>.</w:t>
          </w:r>
          <w:r w:rsidRPr="009D30E3">
            <w:rPr>
              <w:rStyle w:val="FootnoteReference"/>
              <w:rFonts w:ascii="DM Sans" w:hAnsi="DM Sans"/>
              <w:color w:val="auto"/>
            </w:rPr>
            <w:footnoteReference w:id="44"/>
          </w:r>
          <w:r w:rsidRPr="009D30E3">
            <w:rPr>
              <w:rFonts w:ascii="DM Sans" w:hAnsi="DM Sans"/>
              <w:color w:val="auto"/>
            </w:rPr>
            <w:t xml:space="preserve"> </w:t>
          </w:r>
        </w:p>
        <w:p w14:paraId="501AAE75"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2AA3ACF3" w14:textId="77777777" w:rsidR="008C7EFA" w:rsidRPr="009D30E3" w:rsidRDefault="008C7EFA" w:rsidP="008C7EFA">
          <w:pPr>
            <w:numPr>
              <w:ilvl w:val="0"/>
              <w:numId w:val="37"/>
            </w:numPr>
            <w:rPr>
              <w:rFonts w:ascii="DM Sans" w:hAnsi="DM Sans"/>
              <w:color w:val="auto"/>
            </w:rPr>
          </w:pPr>
          <w:r w:rsidRPr="009D30E3">
            <w:rPr>
              <w:rFonts w:ascii="DM Sans" w:hAnsi="DM Sans"/>
              <w:color w:val="auto"/>
            </w:rPr>
            <w:t>Making false reports to child protection or family courts based on disability status</w:t>
          </w:r>
        </w:p>
        <w:p w14:paraId="642EB613" w14:textId="77777777" w:rsidR="008C7EFA" w:rsidRPr="009D30E3" w:rsidRDefault="008C7EFA" w:rsidP="008C7EFA">
          <w:pPr>
            <w:numPr>
              <w:ilvl w:val="0"/>
              <w:numId w:val="37"/>
            </w:numPr>
            <w:rPr>
              <w:rFonts w:ascii="DM Sans" w:hAnsi="DM Sans"/>
              <w:color w:val="auto"/>
            </w:rPr>
          </w:pPr>
          <w:r w:rsidRPr="009D30E3">
            <w:rPr>
              <w:rFonts w:ascii="DM Sans" w:hAnsi="DM Sans"/>
              <w:color w:val="auto"/>
            </w:rPr>
            <w:t>Presenting as capable and competent while deliberately shifting blame onto the mother's disability or support needs</w:t>
          </w:r>
        </w:p>
        <w:p w14:paraId="6F0BE1E6" w14:textId="77777777" w:rsidR="008C7EFA" w:rsidRPr="009D30E3" w:rsidRDefault="008C7EFA" w:rsidP="008C7EFA">
          <w:pPr>
            <w:numPr>
              <w:ilvl w:val="0"/>
              <w:numId w:val="37"/>
            </w:numPr>
            <w:rPr>
              <w:rFonts w:ascii="DM Sans" w:hAnsi="DM Sans"/>
              <w:color w:val="auto"/>
            </w:rPr>
          </w:pPr>
          <w:r w:rsidRPr="009D30E3">
            <w:rPr>
              <w:rFonts w:ascii="DM Sans" w:hAnsi="DM Sans"/>
              <w:color w:val="auto"/>
            </w:rPr>
            <w:t>Framing disability, diagnoses, medication use, or support needs as evidence of parental incapacity</w:t>
          </w:r>
        </w:p>
        <w:p w14:paraId="35E61D15" w14:textId="77777777" w:rsidR="008C7EFA" w:rsidRPr="009D30E3" w:rsidRDefault="008C7EFA" w:rsidP="008C7EFA">
          <w:pPr>
            <w:numPr>
              <w:ilvl w:val="0"/>
              <w:numId w:val="37"/>
            </w:numPr>
            <w:rPr>
              <w:rFonts w:ascii="DM Sans" w:hAnsi="DM Sans"/>
              <w:color w:val="auto"/>
            </w:rPr>
          </w:pPr>
          <w:r w:rsidRPr="009D30E3">
            <w:rPr>
              <w:rFonts w:ascii="DM Sans" w:hAnsi="DM Sans"/>
              <w:color w:val="auto"/>
            </w:rPr>
            <w:t>Withholding financial resources or sabotaging access to supports, then using resulting impact as proof of neglect</w:t>
          </w:r>
        </w:p>
        <w:p w14:paraId="57F67117" w14:textId="7BAE77A1" w:rsidR="008C7EFA" w:rsidRPr="009D30E3" w:rsidRDefault="008C7EFA" w:rsidP="008C7EFA">
          <w:pPr>
            <w:numPr>
              <w:ilvl w:val="0"/>
              <w:numId w:val="37"/>
            </w:numPr>
            <w:rPr>
              <w:rFonts w:ascii="DM Sans" w:hAnsi="DM Sans"/>
              <w:color w:val="auto"/>
            </w:rPr>
          </w:pPr>
          <w:r w:rsidRPr="009D30E3">
            <w:rPr>
              <w:rFonts w:ascii="DM Sans" w:hAnsi="DM Sans"/>
              <w:color w:val="auto"/>
            </w:rPr>
            <w:t>Exploiting communication difficulties in court settings to discredit the victim survivor</w:t>
          </w:r>
          <w:r w:rsidRPr="009D30E3">
            <w:rPr>
              <w:rStyle w:val="FootnoteReference"/>
              <w:rFonts w:ascii="DM Sans" w:hAnsi="DM Sans"/>
              <w:color w:val="auto"/>
            </w:rPr>
            <w:footnoteReference w:id="45"/>
          </w:r>
        </w:p>
        <w:p w14:paraId="2CDD3D35" w14:textId="77777777" w:rsidR="008C7EFA" w:rsidRPr="009D30E3" w:rsidRDefault="008C7EFA" w:rsidP="00056612">
          <w:pPr>
            <w:pStyle w:val="Heading4"/>
          </w:pPr>
          <w:r w:rsidRPr="009D30E3">
            <w:t>Guiding questions for practitioners</w:t>
          </w:r>
        </w:p>
        <w:p w14:paraId="3E81E6AE"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suggested that your disability, diagnosis, or need for support means you shouldn't be caring for your children?</w:t>
          </w:r>
        </w:p>
        <w:p w14:paraId="187B858B"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made you feel that talking about violence would put your relationship with your children at risk?</w:t>
          </w:r>
        </w:p>
        <w:p w14:paraId="61368B1E" w14:textId="77777777" w:rsidR="00056612" w:rsidRPr="009D30E3" w:rsidRDefault="00056612" w:rsidP="00056612">
          <w:pPr>
            <w:rPr>
              <w:rFonts w:ascii="DM Sans" w:hAnsi="DM Sans"/>
              <w:color w:val="auto"/>
            </w:rPr>
          </w:pPr>
        </w:p>
        <w:p w14:paraId="523750FA" w14:textId="08A26133" w:rsidR="00056612" w:rsidRPr="009D30E3" w:rsidRDefault="00056612" w:rsidP="00056612">
          <w:pPr>
            <w:pStyle w:val="Heading1"/>
            <w:rPr>
              <w:rFonts w:ascii="DM Sans" w:hAnsi="DM Sans"/>
            </w:rPr>
          </w:pPr>
          <w:bookmarkStart w:id="22" w:name="_Toc240894265"/>
          <w:r w:rsidRPr="009D30E3">
            <w:rPr>
              <w:rFonts w:ascii="DM Sans" w:hAnsi="DM Sans"/>
            </w:rPr>
            <w:lastRenderedPageBreak/>
            <w:t>Risk factors for adult or child victim survivors caused by perpetrator behaviours</w:t>
          </w:r>
          <w:bookmarkEnd w:id="22"/>
        </w:p>
        <w:p w14:paraId="55BEE14A" w14:textId="6A87F16D" w:rsidR="008C7EFA" w:rsidRPr="009D30E3" w:rsidRDefault="008C7EFA" w:rsidP="00056612">
          <w:pPr>
            <w:pStyle w:val="Heading2"/>
          </w:pPr>
          <w:bookmarkStart w:id="23" w:name="_Toc240894266"/>
          <w:r w:rsidRPr="009D30E3">
            <w:t>Emotional Abuse</w:t>
          </w:r>
          <w:bookmarkEnd w:id="23"/>
        </w:p>
        <w:p w14:paraId="1E2BA73E" w14:textId="77777777" w:rsidR="008C7EFA" w:rsidRPr="009D30E3" w:rsidRDefault="008C7EFA" w:rsidP="008C7EFA">
          <w:pPr>
            <w:rPr>
              <w:rFonts w:ascii="DM Sans" w:hAnsi="DM Sans"/>
              <w:color w:val="auto"/>
            </w:rPr>
          </w:pPr>
          <w:r w:rsidRPr="009D30E3">
            <w:rPr>
              <w:rFonts w:ascii="DM Sans" w:hAnsi="DM Sans"/>
              <w:color w:val="auto"/>
            </w:rPr>
            <w:t>Perpetrators’ use of emotional abuse can have significant impacts on the victim’s physical and mental health. Emotional abuse is used as a method to control the victim and keep them from seeking assistance.</w:t>
          </w:r>
        </w:p>
        <w:p w14:paraId="0BBBC6F9" w14:textId="77777777" w:rsidR="008C7EFA" w:rsidRPr="009D30E3" w:rsidRDefault="008C7EFA" w:rsidP="008C7EFA">
          <w:pPr>
            <w:keepNext/>
            <w:rPr>
              <w:rFonts w:ascii="DM Sans" w:hAnsi="DM Sans"/>
              <w:color w:val="auto"/>
            </w:rPr>
          </w:pPr>
          <w:r w:rsidRPr="009D30E3">
            <w:rPr>
              <w:rFonts w:ascii="DM Sans" w:hAnsi="DM Sans"/>
              <w:color w:val="auto"/>
            </w:rPr>
            <w:t>Emotional abuse in context for victim survivors with disabilities:</w:t>
          </w:r>
        </w:p>
        <w:p w14:paraId="3DCD02F1" w14:textId="77777777" w:rsidR="008C7EFA" w:rsidRPr="009D30E3" w:rsidRDefault="008C7EFA" w:rsidP="00056612">
          <w:pPr>
            <w:pStyle w:val="Heading3"/>
          </w:pPr>
          <w:bookmarkStart w:id="24" w:name="_Threats_of_Institutionalisation"/>
          <w:bookmarkStart w:id="25" w:name="_Toc240894267"/>
          <w:r w:rsidRPr="009D30E3">
            <w:t>Threats of Institutionalisation and Psychological Control</w:t>
          </w:r>
          <w:bookmarkEnd w:id="24"/>
          <w:bookmarkEnd w:id="25"/>
        </w:p>
        <w:p w14:paraId="7CF6B223" w14:textId="6F304DE7" w:rsidR="008C7EFA" w:rsidRPr="009D30E3" w:rsidRDefault="008C7EFA" w:rsidP="008C7EFA">
          <w:pPr>
            <w:rPr>
              <w:rFonts w:ascii="DM Sans" w:hAnsi="DM Sans"/>
              <w:color w:val="auto"/>
            </w:rPr>
          </w:pPr>
          <w:r w:rsidRPr="009D30E3">
            <w:rPr>
              <w:rFonts w:ascii="DM Sans" w:hAnsi="DM Sans"/>
              <w:color w:val="auto"/>
            </w:rPr>
            <w:t>Adults using family violence exploit fears rooted in the historical and ongoing institutionalisation of people with disabilities to inflict emotional harm and maintain psychological control. These threats are deliberate tactics designed to terrorise victim survivors, exploiting well-founded fears of losing autonomy, home, and community</w:t>
          </w:r>
          <w:r w:rsidR="004572BE" w:rsidRPr="009D30E3">
            <w:rPr>
              <w:rFonts w:ascii="DM Sans" w:hAnsi="DM Sans"/>
              <w:color w:val="auto"/>
            </w:rPr>
            <w:t>.</w:t>
          </w:r>
          <w:r w:rsidRPr="009D30E3">
            <w:rPr>
              <w:rStyle w:val="FootnoteReference"/>
              <w:rFonts w:ascii="DM Sans" w:hAnsi="DM Sans"/>
              <w:color w:val="auto"/>
            </w:rPr>
            <w:footnoteReference w:id="46"/>
          </w:r>
        </w:p>
        <w:p w14:paraId="1F1CD9B6" w14:textId="77777777" w:rsidR="008C7EFA" w:rsidRPr="009D30E3" w:rsidRDefault="008C7EFA" w:rsidP="008C7EFA">
          <w:pPr>
            <w:keepNext/>
            <w:rPr>
              <w:rFonts w:ascii="DM Sans" w:hAnsi="DM Sans"/>
              <w:color w:val="auto"/>
            </w:rPr>
          </w:pPr>
          <w:r w:rsidRPr="009D30E3">
            <w:rPr>
              <w:rFonts w:ascii="DM Sans" w:hAnsi="DM Sans"/>
              <w:color w:val="auto"/>
            </w:rPr>
            <w:t>Common tactics include:</w:t>
          </w:r>
        </w:p>
        <w:p w14:paraId="30D8CB4C" w14:textId="77777777" w:rsidR="008C7EFA" w:rsidRPr="009D30E3" w:rsidRDefault="008C7EFA" w:rsidP="008C7EFA">
          <w:pPr>
            <w:numPr>
              <w:ilvl w:val="0"/>
              <w:numId w:val="31"/>
            </w:numPr>
            <w:rPr>
              <w:rFonts w:ascii="DM Sans" w:hAnsi="DM Sans"/>
              <w:color w:val="auto"/>
            </w:rPr>
          </w:pPr>
          <w:r w:rsidRPr="009D30E3">
            <w:rPr>
              <w:rFonts w:ascii="DM Sans" w:hAnsi="DM Sans"/>
              <w:color w:val="auto"/>
            </w:rPr>
            <w:t>Threatening placement in residential care, institutional settings, or group homes against the person's will</w:t>
          </w:r>
        </w:p>
        <w:p w14:paraId="07FBF496" w14:textId="77777777" w:rsidR="008C7EFA" w:rsidRPr="009D30E3" w:rsidRDefault="008C7EFA" w:rsidP="008C7EFA">
          <w:pPr>
            <w:numPr>
              <w:ilvl w:val="0"/>
              <w:numId w:val="31"/>
            </w:numPr>
            <w:rPr>
              <w:rFonts w:ascii="DM Sans" w:hAnsi="DM Sans"/>
              <w:color w:val="auto"/>
            </w:rPr>
          </w:pPr>
          <w:r w:rsidRPr="009D30E3">
            <w:rPr>
              <w:rFonts w:ascii="DM Sans" w:hAnsi="DM Sans"/>
              <w:color w:val="auto"/>
            </w:rPr>
            <w:t>Portraying the victim survivor as a burden whose care is unsustainable, creating fear that any complaint or disclosure will result in abandonment, or removal from home and community</w:t>
          </w:r>
        </w:p>
        <w:p w14:paraId="67E2C707" w14:textId="77777777" w:rsidR="008C7EFA" w:rsidRPr="009D30E3" w:rsidRDefault="008C7EFA" w:rsidP="008C7EFA">
          <w:pPr>
            <w:numPr>
              <w:ilvl w:val="0"/>
              <w:numId w:val="31"/>
            </w:numPr>
            <w:rPr>
              <w:rFonts w:ascii="DM Sans" w:hAnsi="DM Sans"/>
              <w:color w:val="auto"/>
            </w:rPr>
          </w:pPr>
          <w:r w:rsidRPr="009D30E3">
            <w:rPr>
              <w:rFonts w:ascii="DM Sans" w:hAnsi="DM Sans"/>
              <w:color w:val="auto"/>
            </w:rPr>
            <w:t>Threatening to withdraw care or abandon the person</w:t>
          </w:r>
        </w:p>
        <w:p w14:paraId="01FA3BA7" w14:textId="77777777" w:rsidR="008C7EFA" w:rsidRPr="009D30E3" w:rsidRDefault="008C7EFA" w:rsidP="008C7EFA">
          <w:pPr>
            <w:numPr>
              <w:ilvl w:val="0"/>
              <w:numId w:val="31"/>
            </w:numPr>
            <w:rPr>
              <w:rFonts w:ascii="DM Sans" w:hAnsi="DM Sans"/>
              <w:color w:val="auto"/>
            </w:rPr>
          </w:pPr>
          <w:r w:rsidRPr="009D30E3">
            <w:rPr>
              <w:rFonts w:ascii="DM Sans" w:hAnsi="DM Sans"/>
              <w:color w:val="auto"/>
            </w:rPr>
            <w:t>Threatening to share private information about their health or disability with others</w:t>
          </w:r>
        </w:p>
        <w:p w14:paraId="77CF1C8D" w14:textId="77777777" w:rsidR="008C7EFA" w:rsidRPr="009D30E3" w:rsidRDefault="008C7EFA" w:rsidP="008C7EFA">
          <w:pPr>
            <w:numPr>
              <w:ilvl w:val="0"/>
              <w:numId w:val="31"/>
            </w:numPr>
            <w:rPr>
              <w:rFonts w:ascii="DM Sans" w:hAnsi="DM Sans"/>
              <w:color w:val="auto"/>
            </w:rPr>
          </w:pPr>
          <w:r w:rsidRPr="009D30E3">
            <w:rPr>
              <w:rFonts w:ascii="DM Sans" w:hAnsi="DM Sans"/>
              <w:color w:val="auto"/>
            </w:rPr>
            <w:t>Threatening to report them to child protection, disability services, police, or Centrelink as a form of intimidation</w:t>
          </w:r>
          <w:r w:rsidRPr="009D30E3">
            <w:rPr>
              <w:rStyle w:val="FootnoteReference"/>
              <w:rFonts w:ascii="DM Sans" w:hAnsi="DM Sans"/>
              <w:color w:val="auto"/>
            </w:rPr>
            <w:footnoteReference w:id="47"/>
          </w:r>
        </w:p>
        <w:p w14:paraId="6641C55E" w14:textId="77777777" w:rsidR="008C7EFA" w:rsidRPr="009D30E3" w:rsidRDefault="008C7EFA" w:rsidP="00056612">
          <w:pPr>
            <w:pStyle w:val="Heading4"/>
          </w:pPr>
          <w:r w:rsidRPr="009D30E3">
            <w:t>Guiding questions for practitioners</w:t>
          </w:r>
        </w:p>
        <w:p w14:paraId="043DA76E"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ever threatened to send you to a care facility or institution, or suggested you’d be better off somewhere else?</w:t>
          </w:r>
        </w:p>
        <w:p w14:paraId="4C4CD93D"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threatened to have you admitted to a psychiatric facility or mental health unit?</w:t>
          </w:r>
        </w:p>
        <w:p w14:paraId="3B36CE6E"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lastRenderedPageBreak/>
            <w:t xml:space="preserve">Has anyone ever threatened to abandon you or stop providing care? </w:t>
          </w:r>
        </w:p>
        <w:p w14:paraId="409A2090" w14:textId="77777777" w:rsidR="008C7EFA" w:rsidRPr="009D30E3" w:rsidRDefault="008C7EFA" w:rsidP="00056612">
          <w:pPr>
            <w:pStyle w:val="Heading3"/>
          </w:pPr>
          <w:bookmarkStart w:id="26" w:name="_Undermining_and_Gaslighting"/>
          <w:bookmarkStart w:id="27" w:name="_Toc240894268"/>
          <w:r w:rsidRPr="009D30E3">
            <w:t>Undermining and Gaslighting</w:t>
          </w:r>
          <w:bookmarkEnd w:id="26"/>
          <w:bookmarkEnd w:id="27"/>
        </w:p>
        <w:p w14:paraId="73DFFC8A" w14:textId="71F3FBE8" w:rsidR="008C7EFA" w:rsidRPr="009D30E3" w:rsidRDefault="008C7EFA" w:rsidP="008C7EFA">
          <w:pPr>
            <w:rPr>
              <w:rFonts w:ascii="DM Sans" w:hAnsi="DM Sans"/>
              <w:color w:val="auto"/>
            </w:rPr>
          </w:pPr>
          <w:r w:rsidRPr="009D30E3">
            <w:rPr>
              <w:rFonts w:ascii="DM Sans" w:hAnsi="DM Sans"/>
              <w:color w:val="auto"/>
            </w:rPr>
            <w:t>Adults using family violence exploit ableist assumptions about capacity, memory, and credibility to undermine victim survivors' confidence, autonomy, and sense of reality. Through emotional and psychological tactics, adults using family violence may make the person feel that no one will believe them, that seeking help is pointless, or that they deserve the treatment they receive. These tactics are particularly powerful against people with cognitive or psychosocial disabilities, where adults using family violence deliberately exploit credibility challenges and communication differences to distort the person's experience of abuse and prevent them from being believed</w:t>
          </w:r>
          <w:r w:rsidR="004572BE" w:rsidRPr="009D30E3">
            <w:rPr>
              <w:rFonts w:ascii="DM Sans" w:hAnsi="DM Sans"/>
              <w:color w:val="auto"/>
            </w:rPr>
            <w:t>.</w:t>
          </w:r>
          <w:r w:rsidRPr="009D30E3">
            <w:rPr>
              <w:rStyle w:val="FootnoteReference"/>
              <w:rFonts w:ascii="DM Sans" w:hAnsi="DM Sans"/>
              <w:color w:val="auto"/>
            </w:rPr>
            <w:footnoteReference w:id="48"/>
          </w:r>
          <w:r w:rsidRPr="009D30E3">
            <w:rPr>
              <w:rFonts w:ascii="DM Sans" w:hAnsi="DM Sans"/>
              <w:color w:val="auto"/>
            </w:rPr>
            <w:t xml:space="preserve"> </w:t>
          </w:r>
        </w:p>
        <w:p w14:paraId="72E83E3B" w14:textId="77777777" w:rsidR="008C7EFA" w:rsidRPr="009D30E3" w:rsidRDefault="008C7EFA" w:rsidP="008C7EFA">
          <w:pPr>
            <w:keepNext/>
            <w:rPr>
              <w:rFonts w:ascii="DM Sans" w:hAnsi="DM Sans"/>
              <w:color w:val="auto"/>
            </w:rPr>
          </w:pPr>
          <w:r w:rsidRPr="009D30E3">
            <w:rPr>
              <w:rFonts w:ascii="DM Sans" w:hAnsi="DM Sans"/>
              <w:color w:val="auto"/>
            </w:rPr>
            <w:t>Common tactics include:</w:t>
          </w:r>
        </w:p>
        <w:p w14:paraId="52A84043"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Humiliating through derogatory language, disability-specific slurs, mockery, or persistent put-downs that erode self-worth </w:t>
          </w:r>
        </w:p>
        <w:p w14:paraId="1BB63AA9"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Infantilising the victim survivor or treating them as incapable of making their own decisions </w:t>
          </w:r>
        </w:p>
        <w:p w14:paraId="38F52396"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Gaslighting: denying or minimising violence, blaming the person's disability for misunderstandings or memory gaps, or claiming symptoms are fabricated </w:t>
          </w:r>
        </w:p>
        <w:p w14:paraId="2F630231"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Attributing distress, trauma responses, or resistance to abuse to the person's disability rather than recognising them as responses to violence </w:t>
          </w:r>
        </w:p>
        <w:p w14:paraId="0457DD55"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Presenting as calm and cooperative to authorities while portraying the victim survivor as irrational or incapable </w:t>
          </w:r>
        </w:p>
        <w:p w14:paraId="39D2BCF4"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Provoking reactions to frame the victim survivor as the aggressor in legal proceedings or reports to services</w:t>
          </w:r>
        </w:p>
        <w:p w14:paraId="64A7A385"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Using the person's disability to discredit their accounts of abuse to services, family members, or authorities</w:t>
          </w:r>
        </w:p>
        <w:p w14:paraId="0E391F14"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Claiming the victim survivor is an "incapable" or "unfit" parent and creating fear that disclosure will result in child protection involvement or loss of custody </w:t>
          </w:r>
        </w:p>
        <w:p w14:paraId="4069FC1C" w14:textId="77777777" w:rsidR="008C7EFA" w:rsidRPr="009D30E3" w:rsidRDefault="008C7EFA" w:rsidP="008C7EFA">
          <w:pPr>
            <w:numPr>
              <w:ilvl w:val="0"/>
              <w:numId w:val="32"/>
            </w:numPr>
            <w:rPr>
              <w:rFonts w:ascii="DM Sans" w:hAnsi="DM Sans"/>
              <w:color w:val="auto"/>
            </w:rPr>
          </w:pPr>
          <w:r w:rsidRPr="009D30E3">
            <w:rPr>
              <w:rFonts w:ascii="DM Sans" w:hAnsi="DM Sans"/>
              <w:color w:val="auto"/>
            </w:rPr>
            <w:t xml:space="preserve">Positioning themselves as a self-sacrificing carer to family, professionals, or the community while privately belittling or controlling the victim survivor </w:t>
          </w:r>
        </w:p>
        <w:p w14:paraId="4F96EDC2" w14:textId="77777777" w:rsidR="008C7EFA" w:rsidRPr="009D30E3" w:rsidRDefault="008C7EFA" w:rsidP="00056612">
          <w:pPr>
            <w:pStyle w:val="Heading4"/>
          </w:pPr>
          <w:r w:rsidRPr="009D30E3">
            <w:t>Guiding questions for practitioners</w:t>
          </w:r>
        </w:p>
        <w:p w14:paraId="6C2C198B"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Does anyone make you feel bad about yourself or your disability?</w:t>
          </w:r>
        </w:p>
        <w:p w14:paraId="72DCE32D"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lastRenderedPageBreak/>
            <w:t>Has anyone told you that others won't believe you?</w:t>
          </w:r>
        </w:p>
        <w:p w14:paraId="1F0434F4" w14:textId="77777777" w:rsidR="008C7EFA" w:rsidRPr="009D30E3" w:rsidRDefault="008C7EFA" w:rsidP="009D30E3">
          <w:pPr>
            <w:pStyle w:val="Heading2"/>
          </w:pPr>
          <w:bookmarkStart w:id="28" w:name="_Toc240894269"/>
          <w:r w:rsidRPr="009D30E3">
            <w:t>Isolation</w:t>
          </w:r>
          <w:bookmarkEnd w:id="28"/>
        </w:p>
        <w:p w14:paraId="0EAE4254" w14:textId="77777777" w:rsidR="008C7EFA" w:rsidRPr="009D30E3" w:rsidRDefault="008C7EFA" w:rsidP="008C7EFA">
          <w:pPr>
            <w:rPr>
              <w:rFonts w:ascii="DM Sans" w:hAnsi="DM Sans"/>
              <w:color w:val="auto"/>
            </w:rPr>
          </w:pPr>
          <w:r w:rsidRPr="009D30E3">
            <w:rPr>
              <w:rFonts w:ascii="DM Sans" w:hAnsi="DM Sans"/>
              <w:color w:val="auto"/>
            </w:rPr>
            <w:t>A victim is more vulnerable if isolated from family, friends, their community (including cultural) and the wider community and other social networks. Isolation also increases the likelihood of violence and is not simply geographic. Other examples of isolation include systemic factors that limit social interaction or facilitate the perpetrator not allowing the victim to have social interaction.</w:t>
          </w:r>
        </w:p>
        <w:p w14:paraId="4E3357C6" w14:textId="77777777" w:rsidR="008C7EFA" w:rsidRPr="009D30E3" w:rsidRDefault="008C7EFA" w:rsidP="008C7EFA">
          <w:pPr>
            <w:keepNext/>
            <w:rPr>
              <w:rFonts w:ascii="DM Sans" w:hAnsi="DM Sans"/>
              <w:color w:val="auto"/>
            </w:rPr>
          </w:pPr>
          <w:r w:rsidRPr="009D30E3">
            <w:rPr>
              <w:rFonts w:ascii="DM Sans" w:hAnsi="DM Sans"/>
              <w:color w:val="auto"/>
            </w:rPr>
            <w:t>Isolation in context for victim survivors with disabilities:</w:t>
          </w:r>
        </w:p>
        <w:p w14:paraId="22BB16CE" w14:textId="77777777" w:rsidR="008C7EFA" w:rsidRPr="009D30E3" w:rsidRDefault="008C7EFA" w:rsidP="00056612">
          <w:pPr>
            <w:pStyle w:val="Heading3"/>
          </w:pPr>
          <w:bookmarkStart w:id="29" w:name="_Toc240894270"/>
          <w:r w:rsidRPr="009D30E3">
            <w:t>Social and Community Isolation</w:t>
          </w:r>
          <w:bookmarkEnd w:id="29"/>
        </w:p>
        <w:p w14:paraId="7E66A86F" w14:textId="35AA9E51" w:rsidR="008C7EFA" w:rsidRPr="009D30E3" w:rsidRDefault="008C7EFA" w:rsidP="008C7EFA">
          <w:pPr>
            <w:rPr>
              <w:rFonts w:ascii="DM Sans" w:hAnsi="DM Sans"/>
              <w:color w:val="auto"/>
            </w:rPr>
          </w:pPr>
          <w:r w:rsidRPr="009D30E3">
            <w:rPr>
              <w:rFonts w:ascii="DM Sans" w:hAnsi="DM Sans"/>
              <w:color w:val="auto"/>
            </w:rPr>
            <w:t>Relationships with family, friends, community, and specialist disability supports are critical for safety, connection, and identity. When adults using family violence deliberately sever these connections, they remove key protective and visibility safeguards, increasing the likelihood that violence and neglect go unnoticed, particularly for those in closed or supported accommodation settings</w:t>
          </w:r>
          <w:r w:rsidR="004572BE" w:rsidRPr="009D30E3">
            <w:rPr>
              <w:rFonts w:ascii="DM Sans" w:hAnsi="DM Sans"/>
              <w:color w:val="auto"/>
            </w:rPr>
            <w:t>.</w:t>
          </w:r>
          <w:r w:rsidRPr="009D30E3">
            <w:rPr>
              <w:rStyle w:val="FootnoteReference"/>
              <w:rFonts w:ascii="DM Sans" w:hAnsi="DM Sans"/>
              <w:color w:val="auto"/>
            </w:rPr>
            <w:footnoteReference w:id="49"/>
          </w:r>
          <w:r w:rsidRPr="009D30E3">
            <w:rPr>
              <w:rFonts w:ascii="DM Sans" w:hAnsi="DM Sans"/>
              <w:color w:val="auto"/>
            </w:rPr>
            <w:t xml:space="preserve"> Disability specific networks, peer support, and advocacy organisations are uniquely protective for people with disabilities, making them deliberate targets for adults using family violence</w:t>
          </w:r>
          <w:r w:rsidR="004572BE" w:rsidRPr="009D30E3">
            <w:rPr>
              <w:rFonts w:ascii="DM Sans" w:hAnsi="DM Sans"/>
              <w:color w:val="auto"/>
            </w:rPr>
            <w:t>.</w:t>
          </w:r>
          <w:r w:rsidRPr="009D30E3">
            <w:rPr>
              <w:rStyle w:val="FootnoteReference"/>
              <w:rFonts w:ascii="DM Sans" w:hAnsi="DM Sans"/>
              <w:color w:val="auto"/>
            </w:rPr>
            <w:footnoteReference w:id="50"/>
          </w:r>
        </w:p>
        <w:p w14:paraId="4358B517"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3D281C7B"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t>Preventing attendance at disability programs, day services, or community activities</w:t>
          </w:r>
        </w:p>
        <w:p w14:paraId="46D96E74"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t>Restricting contact with peers, disability specific networks, or advocacy organisations</w:t>
          </w:r>
        </w:p>
        <w:p w14:paraId="1E6F34D4"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t>Controlling or preventing access to independent advocacy or support workers</w:t>
          </w:r>
        </w:p>
        <w:p w14:paraId="2B4A76F1"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t>Monitoring or blocking communication with family, friends, and community</w:t>
          </w:r>
        </w:p>
        <w:p w14:paraId="62C1D1CB"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t>Removing or limiting access to transport, mobility aids, or support to get around</w:t>
          </w:r>
        </w:p>
        <w:p w14:paraId="409A3535"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t>Threatening to expose private health information or diagnoses to prevent the person from connecting with community, services, or support networks</w:t>
          </w:r>
        </w:p>
        <w:p w14:paraId="76F811A2" w14:textId="77777777" w:rsidR="008C7EFA" w:rsidRPr="009D30E3" w:rsidRDefault="008C7EFA" w:rsidP="008C7EFA">
          <w:pPr>
            <w:numPr>
              <w:ilvl w:val="0"/>
              <w:numId w:val="33"/>
            </w:numPr>
            <w:rPr>
              <w:rFonts w:ascii="DM Sans" w:hAnsi="DM Sans"/>
              <w:color w:val="auto"/>
            </w:rPr>
          </w:pPr>
          <w:r w:rsidRPr="009D30E3">
            <w:rPr>
              <w:rFonts w:ascii="DM Sans" w:hAnsi="DM Sans"/>
              <w:color w:val="auto"/>
            </w:rPr>
            <w:lastRenderedPageBreak/>
            <w:t>Preventing participation in cultural, faith-based, or community activities that provide identity and connection</w:t>
          </w:r>
          <w:r w:rsidRPr="009D30E3">
            <w:rPr>
              <w:rStyle w:val="FootnoteReference"/>
              <w:rFonts w:ascii="DM Sans" w:hAnsi="DM Sans"/>
              <w:color w:val="auto"/>
            </w:rPr>
            <w:footnoteReference w:id="51"/>
          </w:r>
        </w:p>
        <w:p w14:paraId="3DC65FA1" w14:textId="77777777" w:rsidR="008C7EFA" w:rsidRPr="009D30E3" w:rsidRDefault="008C7EFA" w:rsidP="00056612">
          <w:pPr>
            <w:pStyle w:val="Heading4"/>
          </w:pPr>
          <w:r w:rsidRPr="009D30E3">
            <w:t>Guiding questions for practitioners</w:t>
          </w:r>
        </w:p>
        <w:p w14:paraId="7E4F6712"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Can you tell me about your connections with friends, family, community, and the services that support you, are you able to see people and access services when you want to?</w:t>
          </w:r>
        </w:p>
        <w:p w14:paraId="47321799"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restricted your access to transport, mobility aids, or support to get around?</w:t>
          </w:r>
        </w:p>
        <w:p w14:paraId="67C01E5F"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prevented you from seeing your support workers or attending programs that are important to you?</w:t>
          </w:r>
        </w:p>
        <w:p w14:paraId="505A21E4" w14:textId="77777777" w:rsidR="008C7EFA" w:rsidRPr="009D30E3" w:rsidRDefault="008C7EFA" w:rsidP="00056612">
          <w:pPr>
            <w:pStyle w:val="Heading3"/>
          </w:pPr>
          <w:bookmarkStart w:id="30" w:name="_Toc240894271"/>
          <w:r w:rsidRPr="009D30E3">
            <w:t>Communication-Based Isolation</w:t>
          </w:r>
          <w:bookmarkEnd w:id="30"/>
        </w:p>
        <w:p w14:paraId="2CD2F994" w14:textId="77777777" w:rsidR="008C7EFA" w:rsidRPr="009D30E3" w:rsidRDefault="008C7EFA" w:rsidP="008C7EFA">
          <w:pPr>
            <w:rPr>
              <w:rFonts w:ascii="DM Sans" w:hAnsi="DM Sans"/>
              <w:color w:val="auto"/>
            </w:rPr>
          </w:pPr>
          <w:r w:rsidRPr="009D30E3">
            <w:rPr>
              <w:rFonts w:ascii="DM Sans" w:hAnsi="DM Sans"/>
              <w:color w:val="auto"/>
            </w:rPr>
            <w:t xml:space="preserve">Adults using family violence </w:t>
          </w:r>
          <w:proofErr w:type="spellStart"/>
          <w:r w:rsidRPr="009D30E3">
            <w:rPr>
              <w:rFonts w:ascii="DM Sans" w:hAnsi="DM Sans"/>
              <w:color w:val="auto"/>
            </w:rPr>
            <w:t>weaponise</w:t>
          </w:r>
          <w:proofErr w:type="spellEnd"/>
          <w:r w:rsidRPr="009D30E3">
            <w:rPr>
              <w:rFonts w:ascii="DM Sans" w:hAnsi="DM Sans"/>
              <w:color w:val="auto"/>
            </w:rPr>
            <w:t xml:space="preserve"> communication barriers as tools of control, deliberately withholding communication aids, interpreters, or assistive technology to isolate victim survivors. </w:t>
          </w:r>
        </w:p>
        <w:p w14:paraId="34BD5CC3" w14:textId="025DF3A5" w:rsidR="008C7EFA" w:rsidRPr="009D30E3" w:rsidRDefault="008C7EFA" w:rsidP="008C7EFA">
          <w:pPr>
            <w:rPr>
              <w:rFonts w:ascii="DM Sans" w:hAnsi="DM Sans"/>
              <w:color w:val="auto"/>
            </w:rPr>
          </w:pPr>
          <w:r w:rsidRPr="009D30E3">
            <w:rPr>
              <w:rFonts w:ascii="DM Sans" w:hAnsi="DM Sans"/>
              <w:color w:val="auto"/>
            </w:rPr>
            <w:t>People who are deaf, hard of hearing, have speech impairments, or use augmentative and alternative communication (AAC) are at particular risk</w:t>
          </w:r>
          <w:r w:rsidR="004572BE" w:rsidRPr="009D30E3">
            <w:rPr>
              <w:rFonts w:ascii="DM Sans" w:hAnsi="DM Sans"/>
              <w:color w:val="auto"/>
            </w:rPr>
            <w:t>.</w:t>
          </w:r>
          <w:r w:rsidRPr="009D30E3">
            <w:rPr>
              <w:rStyle w:val="FootnoteReference"/>
              <w:rFonts w:ascii="DM Sans" w:hAnsi="DM Sans"/>
              <w:color w:val="auto"/>
            </w:rPr>
            <w:footnoteReference w:id="52"/>
          </w:r>
          <w:r w:rsidRPr="009D30E3">
            <w:rPr>
              <w:rFonts w:ascii="DM Sans" w:hAnsi="DM Sans"/>
              <w:color w:val="auto"/>
            </w:rPr>
            <w:t xml:space="preserve"> Deaf women experience domestic violence at twice the rate of hearing women, and adults using family violence specifically target communication access as a control tactic</w:t>
          </w:r>
          <w:r w:rsidR="004572BE" w:rsidRPr="009D30E3">
            <w:rPr>
              <w:rFonts w:ascii="DM Sans" w:hAnsi="DM Sans"/>
              <w:color w:val="auto"/>
            </w:rPr>
            <w:t>.</w:t>
          </w:r>
          <w:r w:rsidRPr="009D30E3">
            <w:rPr>
              <w:rStyle w:val="FootnoteReference"/>
              <w:rFonts w:ascii="DM Sans" w:hAnsi="DM Sans"/>
              <w:color w:val="auto"/>
            </w:rPr>
            <w:footnoteReference w:id="53"/>
          </w:r>
        </w:p>
        <w:p w14:paraId="5F9C6EF1" w14:textId="77777777" w:rsidR="008C7EFA" w:rsidRPr="009D30E3" w:rsidRDefault="008C7EFA" w:rsidP="008C7EFA">
          <w:pPr>
            <w:rPr>
              <w:rFonts w:ascii="DM Sans" w:hAnsi="DM Sans"/>
              <w:color w:val="auto"/>
            </w:rPr>
          </w:pPr>
          <w:r w:rsidRPr="009D30E3">
            <w:rPr>
              <w:rFonts w:ascii="DM Sans" w:hAnsi="DM Sans"/>
              <w:color w:val="auto"/>
            </w:rPr>
            <w:t xml:space="preserve">For Deaf victim survivors who use </w:t>
          </w:r>
          <w:proofErr w:type="spellStart"/>
          <w:r w:rsidRPr="009D30E3">
            <w:rPr>
              <w:rFonts w:ascii="DM Sans" w:hAnsi="DM Sans"/>
              <w:color w:val="auto"/>
            </w:rPr>
            <w:t>Auslan</w:t>
          </w:r>
          <w:proofErr w:type="spellEnd"/>
          <w:r w:rsidRPr="009D30E3">
            <w:rPr>
              <w:rFonts w:ascii="DM Sans" w:hAnsi="DM Sans"/>
              <w:color w:val="auto"/>
            </w:rPr>
            <w:t xml:space="preserve"> or another sign language, this isolation can be compounded by the interpreter pool itself: it is often small, and interpreters may be personally known to the adult using violence or to their broader network, creating barriers to accessing safe, confidential support.</w:t>
          </w:r>
        </w:p>
        <w:p w14:paraId="0F59060B"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65499C73"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t xml:space="preserve">Damaging or destroying communication tools including cochlear implant magnets, hearing aids, phones, tablets, or AAC devices </w:t>
          </w:r>
        </w:p>
        <w:p w14:paraId="5403DA6B"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t>Withholding or controlling access to interpreters, communication aids, or translation services</w:t>
          </w:r>
        </w:p>
        <w:p w14:paraId="32DF1144"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t xml:space="preserve">Speaking for the victim survivor without consent, particularly in critical situations such as medical appointments or when police are present </w:t>
          </w:r>
        </w:p>
        <w:p w14:paraId="32A621BD"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lastRenderedPageBreak/>
            <w:t>Targeting hands, fingers, or upper limbs to prevent sign language communication</w:t>
          </w:r>
          <w:r w:rsidRPr="009D30E3">
            <w:rPr>
              <w:rStyle w:val="FootnoteReference"/>
              <w:rFonts w:ascii="DM Sans" w:hAnsi="DM Sans"/>
              <w:color w:val="auto"/>
            </w:rPr>
            <w:footnoteReference w:id="54"/>
          </w:r>
        </w:p>
        <w:p w14:paraId="2A6926CE"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t>Dismissing or ignoring attempts to communicate distress, or minimising communication difficulties</w:t>
          </w:r>
        </w:p>
        <w:p w14:paraId="1F0269D4"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t xml:space="preserve">Monitoring communications through technology under the guise of "safety" or "care" </w:t>
          </w:r>
        </w:p>
        <w:p w14:paraId="3AA2BE50" w14:textId="77777777" w:rsidR="008C7EFA" w:rsidRPr="009D30E3" w:rsidRDefault="008C7EFA" w:rsidP="008C7EFA">
          <w:pPr>
            <w:numPr>
              <w:ilvl w:val="0"/>
              <w:numId w:val="34"/>
            </w:numPr>
            <w:rPr>
              <w:rFonts w:ascii="DM Sans" w:hAnsi="DM Sans"/>
              <w:color w:val="auto"/>
            </w:rPr>
          </w:pPr>
          <w:r w:rsidRPr="009D30E3">
            <w:rPr>
              <w:rFonts w:ascii="DM Sans" w:hAnsi="DM Sans"/>
              <w:color w:val="auto"/>
            </w:rPr>
            <w:t>Refusing to learn or use the person's communication method such as sign language, AAC, or communication boards</w:t>
          </w:r>
          <w:r w:rsidRPr="009D30E3">
            <w:rPr>
              <w:rStyle w:val="FootnoteReference"/>
              <w:rFonts w:ascii="DM Sans" w:hAnsi="DM Sans"/>
              <w:color w:val="auto"/>
            </w:rPr>
            <w:footnoteReference w:id="55"/>
          </w:r>
        </w:p>
        <w:p w14:paraId="114366EB" w14:textId="77777777" w:rsidR="008C7EFA" w:rsidRPr="009D30E3" w:rsidRDefault="008C7EFA" w:rsidP="00056612">
          <w:pPr>
            <w:pStyle w:val="Heading4"/>
          </w:pPr>
          <w:r w:rsidRPr="009D30E3">
            <w:t>Guiding questions for practitioners</w:t>
          </w:r>
        </w:p>
        <w:p w14:paraId="61CFF7DF"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Can you tell me how you communicate and connect with people? Do you have reliable access to your communication aids and devices, and privacy when you need it?</w:t>
          </w:r>
        </w:p>
        <w:p w14:paraId="02651030"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damaged, hidden, or taken away your hearing aids or communication devices?</w:t>
          </w:r>
        </w:p>
        <w:p w14:paraId="7A2AC3AC"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Does someone speak for you in situations where you could speak for yourself?</w:t>
          </w:r>
        </w:p>
        <w:p w14:paraId="55A18D34" w14:textId="171F5E1A" w:rsidR="008C7EFA" w:rsidRPr="009D30E3" w:rsidRDefault="008C7EFA" w:rsidP="00056612">
          <w:pPr>
            <w:pStyle w:val="Heading2"/>
          </w:pPr>
          <w:bookmarkStart w:id="31" w:name="_Toc240894272"/>
          <w:r w:rsidRPr="009D30E3">
            <w:t>Sexual Assault</w:t>
          </w:r>
          <w:r w:rsidR="00056612" w:rsidRPr="009D30E3">
            <w:t xml:space="preserve"> (serious risk factor)</w:t>
          </w:r>
          <w:bookmarkEnd w:id="31"/>
        </w:p>
        <w:p w14:paraId="6672DFDC" w14:textId="77777777" w:rsidR="008C7EFA" w:rsidRPr="009D30E3" w:rsidRDefault="008C7EFA" w:rsidP="008C7EFA">
          <w:pPr>
            <w:rPr>
              <w:rFonts w:ascii="DM Sans" w:hAnsi="DM Sans"/>
              <w:color w:val="auto"/>
              <w:sz w:val="20"/>
              <w:szCs w:val="20"/>
            </w:rPr>
          </w:pPr>
          <w:r w:rsidRPr="009D30E3">
            <w:rPr>
              <w:rFonts w:ascii="DM Sans" w:hAnsi="DM Sans"/>
              <w:color w:val="auto"/>
            </w:rPr>
            <w:t>Perpetrators who sexually assault their victim (adult or child) are also more likely to use other forms of violence against them</w:t>
          </w:r>
        </w:p>
        <w:p w14:paraId="6002F474" w14:textId="77777777" w:rsidR="008C7EFA" w:rsidRPr="009D30E3" w:rsidRDefault="008C7EFA" w:rsidP="008C7EFA">
          <w:pPr>
            <w:keepNext/>
            <w:rPr>
              <w:rFonts w:ascii="DM Sans" w:hAnsi="DM Sans"/>
              <w:color w:val="auto"/>
            </w:rPr>
          </w:pPr>
          <w:r w:rsidRPr="009D30E3">
            <w:rPr>
              <w:rFonts w:ascii="DM Sans" w:hAnsi="DM Sans"/>
              <w:color w:val="auto"/>
            </w:rPr>
            <w:t>Sexual assault of victim in context for victim survivors with disabilities:</w:t>
          </w:r>
        </w:p>
        <w:p w14:paraId="6C68F7CE" w14:textId="77777777" w:rsidR="008C7EFA" w:rsidRPr="009D30E3" w:rsidRDefault="008C7EFA" w:rsidP="00056612">
          <w:pPr>
            <w:pStyle w:val="Heading3"/>
          </w:pPr>
          <w:bookmarkStart w:id="32" w:name="_Toc240894273"/>
          <w:r w:rsidRPr="009D30E3">
            <w:t>Sexual Violence</w:t>
          </w:r>
          <w:bookmarkEnd w:id="32"/>
        </w:p>
        <w:p w14:paraId="11F788BC" w14:textId="41A38D09" w:rsidR="008C7EFA" w:rsidRPr="009D30E3" w:rsidRDefault="008C7EFA" w:rsidP="008C7EFA">
          <w:pPr>
            <w:rPr>
              <w:rFonts w:ascii="DM Sans" w:hAnsi="DM Sans"/>
              <w:color w:val="auto"/>
            </w:rPr>
          </w:pPr>
          <w:r w:rsidRPr="009D30E3">
            <w:rPr>
              <w:rFonts w:ascii="DM Sans" w:hAnsi="DM Sans"/>
              <w:color w:val="auto"/>
            </w:rPr>
            <w:t>Women with disabilities are more than twice as likely to experience violence by a domestic partner, and the overall rate of sexual assault of people with disabilities since age 15 is nearly twice that of people without disabilities</w:t>
          </w:r>
          <w:r w:rsidR="004572BE" w:rsidRPr="009D30E3">
            <w:rPr>
              <w:rFonts w:ascii="DM Sans" w:hAnsi="DM Sans"/>
              <w:color w:val="auto"/>
            </w:rPr>
            <w:t>.</w:t>
          </w:r>
          <w:r w:rsidRPr="009D30E3">
            <w:rPr>
              <w:rStyle w:val="FootnoteReference"/>
              <w:rFonts w:ascii="DM Sans" w:hAnsi="DM Sans"/>
              <w:color w:val="auto"/>
            </w:rPr>
            <w:footnoteReference w:id="56"/>
          </w:r>
          <w:r w:rsidRPr="009D30E3">
            <w:rPr>
              <w:rFonts w:ascii="DM Sans" w:hAnsi="DM Sans"/>
              <w:color w:val="auto"/>
            </w:rPr>
            <w:t xml:space="preserve"> Women with intellectual or psychological disabilities face the highest risk, with 45% having experienced sexual assault</w:t>
          </w:r>
          <w:r w:rsidR="004572BE" w:rsidRPr="009D30E3">
            <w:rPr>
              <w:rFonts w:ascii="DM Sans" w:hAnsi="DM Sans"/>
              <w:color w:val="auto"/>
            </w:rPr>
            <w:t>.</w:t>
          </w:r>
          <w:r w:rsidRPr="009D30E3">
            <w:rPr>
              <w:rStyle w:val="FootnoteReference"/>
              <w:rFonts w:ascii="DM Sans" w:hAnsi="DM Sans"/>
              <w:color w:val="auto"/>
            </w:rPr>
            <w:footnoteReference w:id="57"/>
          </w:r>
          <w:r w:rsidRPr="009D30E3">
            <w:rPr>
              <w:rFonts w:ascii="DM Sans" w:hAnsi="DM Sans"/>
              <w:color w:val="auto"/>
            </w:rPr>
            <w:t xml:space="preserve"> Risk is further heightened for those living in institutional and segregated settings, including group homes, residential facilities, and supported accommodation, where power differentials and reduced connection to family and community, can enable abuse to go undetected and unaddressed</w:t>
          </w:r>
          <w:r w:rsidR="004572BE" w:rsidRPr="009D30E3">
            <w:rPr>
              <w:rFonts w:ascii="DM Sans" w:hAnsi="DM Sans"/>
              <w:color w:val="auto"/>
            </w:rPr>
            <w:t>.</w:t>
          </w:r>
          <w:r w:rsidRPr="009D30E3">
            <w:rPr>
              <w:rStyle w:val="FootnoteReference"/>
              <w:rFonts w:ascii="DM Sans" w:hAnsi="DM Sans"/>
              <w:color w:val="auto"/>
            </w:rPr>
            <w:footnoteReference w:id="58"/>
          </w:r>
        </w:p>
        <w:p w14:paraId="6045412D" w14:textId="07E94D5B" w:rsidR="008C7EFA" w:rsidRPr="009D30E3" w:rsidRDefault="008C7EFA" w:rsidP="008C7EFA">
          <w:pPr>
            <w:rPr>
              <w:rFonts w:ascii="DM Sans" w:hAnsi="DM Sans"/>
              <w:color w:val="auto"/>
            </w:rPr>
          </w:pPr>
          <w:r w:rsidRPr="009D30E3">
            <w:rPr>
              <w:rFonts w:ascii="DM Sans" w:hAnsi="DM Sans"/>
              <w:color w:val="auto"/>
            </w:rPr>
            <w:lastRenderedPageBreak/>
            <w:t>Sexual violence often occurs during personal care situations such as bathing, toileting, or dressing, where adults using family violence exploit their position of power, trust, and access. Violence is normalised as "part of care" or framed as "necessary for protection," making it difficult for victim survivors to recognise, name, or report, particularly when they rely on the person causing harm for essential daily support, or when they have not had access to accessible information about healthy relationships and what constitutes abuse</w:t>
          </w:r>
          <w:r w:rsidR="004572BE" w:rsidRPr="009D30E3">
            <w:rPr>
              <w:rFonts w:ascii="DM Sans" w:hAnsi="DM Sans"/>
              <w:color w:val="auto"/>
            </w:rPr>
            <w:t>.</w:t>
          </w:r>
          <w:r w:rsidRPr="009D30E3">
            <w:rPr>
              <w:rStyle w:val="FootnoteReference"/>
              <w:rFonts w:ascii="DM Sans" w:hAnsi="DM Sans"/>
              <w:color w:val="auto"/>
            </w:rPr>
            <w:footnoteReference w:id="59"/>
          </w:r>
        </w:p>
        <w:p w14:paraId="5BE253FB" w14:textId="77777777" w:rsidR="008C7EFA" w:rsidRPr="009D30E3" w:rsidRDefault="008C7EFA" w:rsidP="008C7EFA">
          <w:pPr>
            <w:keepNext/>
            <w:rPr>
              <w:rFonts w:ascii="DM Sans" w:hAnsi="DM Sans"/>
              <w:color w:val="auto"/>
            </w:rPr>
          </w:pPr>
          <w:r w:rsidRPr="009D30E3">
            <w:rPr>
              <w:rFonts w:ascii="DM Sans" w:hAnsi="DM Sans"/>
              <w:color w:val="auto"/>
            </w:rPr>
            <w:t>Common behaviours include:</w:t>
          </w:r>
        </w:p>
        <w:p w14:paraId="14BCAEF6" w14:textId="77777777" w:rsidR="008C7EFA" w:rsidRPr="009D30E3" w:rsidRDefault="008C7EFA" w:rsidP="008C7EFA">
          <w:pPr>
            <w:numPr>
              <w:ilvl w:val="0"/>
              <w:numId w:val="35"/>
            </w:numPr>
            <w:rPr>
              <w:rFonts w:ascii="DM Sans" w:hAnsi="DM Sans"/>
              <w:color w:val="auto"/>
            </w:rPr>
          </w:pPr>
          <w:r w:rsidRPr="009D30E3">
            <w:rPr>
              <w:rFonts w:ascii="DM Sans" w:hAnsi="DM Sans"/>
              <w:color w:val="auto"/>
            </w:rPr>
            <w:t>Sexual assault during personal care routines including bathing, toileting, or dressing</w:t>
          </w:r>
        </w:p>
        <w:p w14:paraId="2590C0A0" w14:textId="77777777" w:rsidR="008C7EFA" w:rsidRPr="009D30E3" w:rsidRDefault="008C7EFA" w:rsidP="008C7EFA">
          <w:pPr>
            <w:numPr>
              <w:ilvl w:val="0"/>
              <w:numId w:val="35"/>
            </w:numPr>
            <w:rPr>
              <w:rFonts w:ascii="DM Sans" w:hAnsi="DM Sans"/>
              <w:color w:val="auto"/>
            </w:rPr>
          </w:pPr>
          <w:r w:rsidRPr="009D30E3">
            <w:rPr>
              <w:rFonts w:ascii="DM Sans" w:hAnsi="DM Sans"/>
              <w:color w:val="auto"/>
            </w:rPr>
            <w:t>Grooming: establishing a false sense of love, trust, or specialness to facilitate sexual abuse, particularly by those in positions of authority or trust</w:t>
          </w:r>
        </w:p>
        <w:p w14:paraId="3D3A88E0" w14:textId="77777777" w:rsidR="008C7EFA" w:rsidRPr="009D30E3" w:rsidRDefault="008C7EFA" w:rsidP="008C7EFA">
          <w:pPr>
            <w:numPr>
              <w:ilvl w:val="0"/>
              <w:numId w:val="35"/>
            </w:numPr>
            <w:rPr>
              <w:rFonts w:ascii="DM Sans" w:hAnsi="DM Sans"/>
              <w:color w:val="auto"/>
            </w:rPr>
          </w:pPr>
          <w:r w:rsidRPr="009D30E3">
            <w:rPr>
              <w:rFonts w:ascii="DM Sans" w:hAnsi="DM Sans"/>
              <w:color w:val="auto"/>
            </w:rPr>
            <w:t>Controlling or restricting which support workers provide personal care</w:t>
          </w:r>
        </w:p>
        <w:p w14:paraId="09A1CF8C" w14:textId="77777777" w:rsidR="008C7EFA" w:rsidRPr="009D30E3" w:rsidRDefault="008C7EFA" w:rsidP="008C7EFA">
          <w:pPr>
            <w:numPr>
              <w:ilvl w:val="0"/>
              <w:numId w:val="35"/>
            </w:numPr>
            <w:rPr>
              <w:rFonts w:ascii="DM Sans" w:hAnsi="DM Sans"/>
              <w:color w:val="auto"/>
            </w:rPr>
          </w:pPr>
          <w:r w:rsidRPr="009D30E3">
            <w:rPr>
              <w:rFonts w:ascii="DM Sans" w:hAnsi="DM Sans"/>
              <w:color w:val="auto"/>
            </w:rPr>
            <w:t>Exploiting situations where the victim survivor cannot clearly communicate consent or refusal due to communication barriers or cognitive disability</w:t>
          </w:r>
        </w:p>
        <w:p w14:paraId="1FA3DCFE" w14:textId="77777777" w:rsidR="008C7EFA" w:rsidRPr="009D30E3" w:rsidRDefault="008C7EFA" w:rsidP="008C7EFA">
          <w:pPr>
            <w:numPr>
              <w:ilvl w:val="0"/>
              <w:numId w:val="35"/>
            </w:numPr>
            <w:rPr>
              <w:rFonts w:ascii="DM Sans" w:hAnsi="DM Sans"/>
              <w:color w:val="auto"/>
            </w:rPr>
          </w:pPr>
          <w:r w:rsidRPr="009D30E3">
            <w:rPr>
              <w:rFonts w:ascii="DM Sans" w:hAnsi="DM Sans"/>
              <w:color w:val="auto"/>
            </w:rPr>
            <w:t>Framing sexual assault as "part of care," "necessary for protection," or medical intervention</w:t>
          </w:r>
        </w:p>
        <w:p w14:paraId="6C61B96A" w14:textId="77777777" w:rsidR="008C7EFA" w:rsidRPr="009D30E3" w:rsidRDefault="008C7EFA" w:rsidP="008C7EFA">
          <w:pPr>
            <w:numPr>
              <w:ilvl w:val="0"/>
              <w:numId w:val="35"/>
            </w:numPr>
            <w:rPr>
              <w:rFonts w:ascii="DM Sans" w:hAnsi="DM Sans"/>
              <w:color w:val="auto"/>
            </w:rPr>
          </w:pPr>
          <w:r w:rsidRPr="009D30E3">
            <w:rPr>
              <w:rFonts w:ascii="DM Sans" w:hAnsi="DM Sans"/>
              <w:color w:val="auto"/>
            </w:rPr>
            <w:t>Filming, photographing, or livestreaming sexual violence or personal care situations without consent</w:t>
          </w:r>
        </w:p>
        <w:p w14:paraId="7F03A697" w14:textId="77777777" w:rsidR="008C7EFA" w:rsidRPr="009D30E3" w:rsidRDefault="008C7EFA" w:rsidP="00056612">
          <w:pPr>
            <w:pStyle w:val="Heading4"/>
          </w:pPr>
          <w:r w:rsidRPr="009D30E3">
            <w:t>Guiding questions for practitioners</w:t>
          </w:r>
        </w:p>
        <w:p w14:paraId="4A1AF474" w14:textId="77777777" w:rsidR="008C7EFA" w:rsidRPr="009D30E3" w:rsidRDefault="008C7EFA" w:rsidP="008C7EFA">
          <w:pPr>
            <w:rPr>
              <w:rFonts w:ascii="DM Sans" w:hAnsi="DM Sans"/>
              <w:color w:val="auto"/>
            </w:rPr>
          </w:pPr>
          <w:r w:rsidRPr="009D30E3">
            <w:rPr>
              <w:rFonts w:ascii="DM Sans" w:hAnsi="DM Sans"/>
              <w:color w:val="auto"/>
            </w:rPr>
            <w:t>Note: the following questions require careful trauma-informed, accessible and inclusive language. Behaviour-based questions support disclosure by focusing on lived experience rather than labels. Many victim survivors may not identify coerced or forced sex within a relationship as rape or sexual assault. A victim survivor may answer 'no' when asked if they have been sexually assaulted, but '</w:t>
          </w:r>
          <w:proofErr w:type="spellStart"/>
          <w:r w:rsidRPr="009D30E3">
            <w:rPr>
              <w:rFonts w:ascii="DM Sans" w:hAnsi="DM Sans"/>
              <w:color w:val="auto"/>
            </w:rPr>
            <w:t>yes'</w:t>
          </w:r>
          <w:proofErr w:type="spellEnd"/>
          <w:r w:rsidRPr="009D30E3">
            <w:rPr>
              <w:rFonts w:ascii="DM Sans" w:hAnsi="DM Sans"/>
              <w:color w:val="auto"/>
            </w:rPr>
            <w:t xml:space="preserve"> when asked if they have had sex when they didn't want to.</w:t>
          </w:r>
        </w:p>
        <w:p w14:paraId="0720DAE3"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 you feel safe when you get help with personal care like washing or dressing?</w:t>
          </w:r>
        </w:p>
        <w:p w14:paraId="1279FAA7"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 you have a say in who provides your personal care?</w:t>
          </w:r>
        </w:p>
        <w:p w14:paraId="6C919761"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ever made you do sexual things you didn't want to do?</w:t>
          </w:r>
        </w:p>
        <w:p w14:paraId="286965B7"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lastRenderedPageBreak/>
            <w:t>Has anyone told you that what happened between you was 'normal' or 'part of your care' when it didn't feel right to you?</w:t>
          </w:r>
        </w:p>
        <w:p w14:paraId="6E6FF286"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taken photos or videos of you without your permission, including during personal care?</w:t>
          </w:r>
        </w:p>
        <w:p w14:paraId="57B7DEBD" w14:textId="7C160EC8" w:rsidR="008C7EFA" w:rsidRPr="009D30E3" w:rsidRDefault="008C7EFA" w:rsidP="00056612">
          <w:pPr>
            <w:pStyle w:val="Heading2"/>
          </w:pPr>
          <w:bookmarkStart w:id="33" w:name="_Toc240894274"/>
          <w:r w:rsidRPr="009D30E3">
            <w:t>Stalking</w:t>
          </w:r>
          <w:r w:rsidR="00056612" w:rsidRPr="009D30E3">
            <w:t xml:space="preserve"> (serious risk factor)</w:t>
          </w:r>
          <w:bookmarkEnd w:id="33"/>
        </w:p>
        <w:p w14:paraId="4DD632CF" w14:textId="77777777" w:rsidR="008C7EFA" w:rsidRPr="009D30E3" w:rsidRDefault="008C7EFA" w:rsidP="008C7EFA">
          <w:pPr>
            <w:rPr>
              <w:rFonts w:ascii="DM Sans" w:hAnsi="DM Sans"/>
              <w:color w:val="auto"/>
            </w:rPr>
          </w:pPr>
          <w:r w:rsidRPr="009D30E3">
            <w:rPr>
              <w:rFonts w:ascii="DM Sans" w:hAnsi="DM Sans"/>
              <w:color w:val="auto"/>
            </w:rPr>
            <w:t>Stalkers are more likely to be violent if they have had an intimate relationship with the victim, including during, following separation and including when the victim has commenced a new relationship. Stalking when coupled with physical assault, is strongly connected to murder or attempted murder. Stalking behaviour and obsessive thinking are highly related behaviours. Technology-facilitated abuse, including on social media, surveillance technologies and apps is a type of stalking.</w:t>
          </w:r>
        </w:p>
        <w:p w14:paraId="2D680A50" w14:textId="77777777" w:rsidR="008C7EFA" w:rsidRPr="009D30E3" w:rsidRDefault="008C7EFA" w:rsidP="008C7EFA">
          <w:pPr>
            <w:keepNext/>
            <w:rPr>
              <w:rFonts w:ascii="DM Sans" w:hAnsi="DM Sans"/>
              <w:color w:val="auto"/>
            </w:rPr>
          </w:pPr>
          <w:r w:rsidRPr="009D30E3">
            <w:rPr>
              <w:rFonts w:ascii="DM Sans" w:hAnsi="DM Sans"/>
              <w:color w:val="auto"/>
            </w:rPr>
            <w:t>Stalking behaviours in the context of victim survivors with disabilities:</w:t>
          </w:r>
        </w:p>
        <w:p w14:paraId="0B60741C" w14:textId="77777777" w:rsidR="008C7EFA" w:rsidRPr="009D30E3" w:rsidRDefault="008C7EFA" w:rsidP="00056612">
          <w:pPr>
            <w:pStyle w:val="Heading3"/>
          </w:pPr>
          <w:bookmarkStart w:id="34" w:name="_Toc240894275"/>
          <w:r w:rsidRPr="009D30E3">
            <w:t>Technology-facilitated abuse</w:t>
          </w:r>
          <w:bookmarkEnd w:id="34"/>
        </w:p>
        <w:p w14:paraId="0E530FDF" w14:textId="2DB9FA8D" w:rsidR="008C7EFA" w:rsidRPr="009D30E3" w:rsidRDefault="008C7EFA" w:rsidP="008C7EFA">
          <w:pPr>
            <w:rPr>
              <w:rFonts w:ascii="DM Sans" w:hAnsi="DM Sans"/>
              <w:color w:val="auto"/>
            </w:rPr>
          </w:pPr>
          <w:r w:rsidRPr="009D30E3">
            <w:rPr>
              <w:rFonts w:ascii="DM Sans" w:hAnsi="DM Sans"/>
              <w:color w:val="auto"/>
            </w:rPr>
            <w:t>People with disabilities experience stalking at substantially higher rates than people without disabilities, with women with disabilities at particular risk. Former intimate partners are the most common perpetrators of stalking against people with disabilities, consistent with the serious risk this presents in the context of separation and post-separation violence</w:t>
          </w:r>
          <w:r w:rsidR="004572BE" w:rsidRPr="009D30E3">
            <w:rPr>
              <w:rFonts w:ascii="DM Sans" w:hAnsi="DM Sans"/>
              <w:color w:val="auto"/>
            </w:rPr>
            <w:t>.</w:t>
          </w:r>
          <w:r w:rsidRPr="009D30E3">
            <w:rPr>
              <w:rStyle w:val="FootnoteReference"/>
              <w:rFonts w:ascii="DM Sans" w:hAnsi="DM Sans"/>
              <w:color w:val="auto"/>
            </w:rPr>
            <w:footnoteReference w:id="60"/>
          </w:r>
          <w:r w:rsidRPr="009D30E3">
            <w:rPr>
              <w:rFonts w:ascii="DM Sans" w:hAnsi="DM Sans"/>
              <w:color w:val="auto"/>
            </w:rPr>
            <w:t xml:space="preserve"> For people with disabilities, adults using family violence exploit assistive technology, communication devices, and disability-specific digital systems as tools of surveillance and control, extending stalking behaviour into the systems and supports designed to promote independence and safety</w:t>
          </w:r>
          <w:r w:rsidR="004572BE" w:rsidRPr="009D30E3">
            <w:rPr>
              <w:rFonts w:ascii="DM Sans" w:hAnsi="DM Sans"/>
              <w:color w:val="auto"/>
            </w:rPr>
            <w:t>.</w:t>
          </w:r>
          <w:r w:rsidRPr="009D30E3">
            <w:rPr>
              <w:rStyle w:val="FootnoteReference"/>
              <w:rFonts w:ascii="DM Sans" w:hAnsi="DM Sans"/>
              <w:color w:val="auto"/>
            </w:rPr>
            <w:footnoteReference w:id="61"/>
          </w:r>
        </w:p>
        <w:p w14:paraId="23948C3F" w14:textId="377547B5" w:rsidR="008C7EFA" w:rsidRPr="009D30E3" w:rsidRDefault="008C7EFA" w:rsidP="008C7EFA">
          <w:pPr>
            <w:rPr>
              <w:rFonts w:ascii="DM Sans" w:hAnsi="DM Sans"/>
              <w:color w:val="auto"/>
            </w:rPr>
          </w:pPr>
          <w:r w:rsidRPr="009D30E3">
            <w:rPr>
              <w:rFonts w:ascii="DM Sans" w:hAnsi="DM Sans"/>
              <w:color w:val="auto"/>
            </w:rPr>
            <w:t>Victim survivors are often disbelieved when reporting complex technology-facilitated abuse and are frequently advised by police and services to disengage from technology. For many people with disabilities, social media and digital platforms are primary lifelines to family, community and support networks, and disengaging from technology can increase isolation and remove critical safety connections. Responses should instead focus on holding adults using family violence accountable</w:t>
          </w:r>
          <w:r w:rsidR="004572BE" w:rsidRPr="009D30E3">
            <w:rPr>
              <w:rFonts w:ascii="DM Sans" w:hAnsi="DM Sans"/>
              <w:color w:val="auto"/>
            </w:rPr>
            <w:t>.</w:t>
          </w:r>
          <w:r w:rsidRPr="009D30E3">
            <w:rPr>
              <w:rStyle w:val="FootnoteReference"/>
              <w:rFonts w:ascii="DM Sans" w:hAnsi="DM Sans"/>
              <w:color w:val="auto"/>
            </w:rPr>
            <w:footnoteReference w:id="62"/>
          </w:r>
          <w:r w:rsidRPr="009D30E3">
            <w:rPr>
              <w:rFonts w:ascii="DM Sans" w:hAnsi="DM Sans"/>
              <w:color w:val="auto"/>
            </w:rPr>
            <w:t xml:space="preserve"> </w:t>
          </w:r>
        </w:p>
        <w:p w14:paraId="14D50323" w14:textId="77777777" w:rsidR="008C7EFA" w:rsidRPr="009D30E3" w:rsidRDefault="008C7EFA" w:rsidP="008C7EFA">
          <w:pPr>
            <w:keepNext/>
            <w:rPr>
              <w:rFonts w:ascii="DM Sans" w:hAnsi="DM Sans"/>
              <w:color w:val="auto"/>
            </w:rPr>
          </w:pPr>
          <w:r w:rsidRPr="009D30E3">
            <w:rPr>
              <w:rFonts w:ascii="DM Sans" w:hAnsi="DM Sans"/>
              <w:color w:val="auto"/>
            </w:rPr>
            <w:t>Common tactics include:</w:t>
          </w:r>
        </w:p>
        <w:p w14:paraId="4AE61CAC"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t>Placing tracking devices on mobility aids such as wheelchairs, walkers, or scooters</w:t>
          </w:r>
        </w:p>
        <w:p w14:paraId="78E6CCD8"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t>Using spyware or monitoring software on communication devices, AAC devices, or computers</w:t>
          </w:r>
        </w:p>
        <w:p w14:paraId="494D7CEB"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lastRenderedPageBreak/>
            <w:t>Exploiting digital accessibility tools and adaptive technology to monitor activities, communications, and whereabouts</w:t>
          </w:r>
        </w:p>
        <w:p w14:paraId="3CBE265A"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t xml:space="preserve">Exploiting knowledge of the person's disability support schedules, medical appointments, or care routines </w:t>
          </w:r>
        </w:p>
        <w:p w14:paraId="65D22282"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t>Using the NDIS portal, provider portals, or MyGov to monitor location, activities, and service usage</w:t>
          </w:r>
        </w:p>
        <w:p w14:paraId="4982D0EF"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t>Monitoring through shared cloud accounts, family-linked devices, or joint accounts set up for care coordination</w:t>
          </w:r>
        </w:p>
        <w:p w14:paraId="3A963665" w14:textId="77777777" w:rsidR="008C7EFA" w:rsidRPr="009D30E3" w:rsidRDefault="008C7EFA" w:rsidP="008C7EFA">
          <w:pPr>
            <w:numPr>
              <w:ilvl w:val="0"/>
              <w:numId w:val="36"/>
            </w:numPr>
            <w:rPr>
              <w:rFonts w:ascii="DM Sans" w:hAnsi="DM Sans"/>
              <w:color w:val="auto"/>
            </w:rPr>
          </w:pPr>
          <w:r w:rsidRPr="009D30E3">
            <w:rPr>
              <w:rFonts w:ascii="DM Sans" w:hAnsi="DM Sans"/>
              <w:color w:val="auto"/>
            </w:rPr>
            <w:t>Manipulating smart home accessibility features including voice-controlled lights, automated door locks, environmental controls, or temperature systems to harass or demonstrate control</w:t>
          </w:r>
          <w:r w:rsidRPr="009D30E3">
            <w:rPr>
              <w:rStyle w:val="FootnoteReference"/>
              <w:rFonts w:ascii="DM Sans" w:hAnsi="DM Sans"/>
              <w:color w:val="auto"/>
            </w:rPr>
            <w:footnoteReference w:id="63"/>
          </w:r>
        </w:p>
        <w:p w14:paraId="48408A95" w14:textId="77777777" w:rsidR="008C7EFA" w:rsidRPr="009D30E3" w:rsidRDefault="008C7EFA" w:rsidP="00056612">
          <w:pPr>
            <w:pStyle w:val="Heading4"/>
          </w:pPr>
          <w:r w:rsidRPr="009D30E3">
            <w:t>Guiding questions for practitioners</w:t>
          </w:r>
        </w:p>
        <w:p w14:paraId="6F11555C"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 you feel like someone is watching you through your devices, cameras, or smart home technology?</w:t>
          </w:r>
        </w:p>
        <w:p w14:paraId="0704A575"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used your assistive technology or communication devices to monitor what you do or where you go?</w:t>
          </w:r>
        </w:p>
        <w:p w14:paraId="584C36DE" w14:textId="77777777" w:rsidR="008C7EFA" w:rsidRPr="009D30E3" w:rsidRDefault="008C7EFA" w:rsidP="004572BE">
          <w:pPr>
            <w:rPr>
              <w:rFonts w:ascii="DM Sans" w:hAnsi="DM Sans"/>
            </w:rPr>
          </w:pPr>
          <w:r w:rsidRPr="009D30E3">
            <w:rPr>
              <w:rFonts w:ascii="DM Sans" w:hAnsi="DM Sans"/>
            </w:rPr>
            <w:t>Has anyone used the NDIS online portal to monitor your location or activities?</w:t>
          </w:r>
        </w:p>
        <w:p w14:paraId="7EE1D9C8"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Does the person using violence have access to your accounts, passwords, or devices?</w:t>
          </w:r>
        </w:p>
        <w:p w14:paraId="396CC684" w14:textId="77777777" w:rsidR="008C7EFA" w:rsidRPr="009D30E3" w:rsidRDefault="008C7EFA" w:rsidP="008C7EFA">
          <w:pPr>
            <w:numPr>
              <w:ilvl w:val="0"/>
              <w:numId w:val="24"/>
            </w:numPr>
            <w:rPr>
              <w:rFonts w:ascii="DM Sans" w:hAnsi="DM Sans"/>
              <w:color w:val="auto"/>
            </w:rPr>
          </w:pPr>
          <w:r w:rsidRPr="009D30E3">
            <w:rPr>
              <w:rFonts w:ascii="DM Sans" w:hAnsi="DM Sans"/>
              <w:color w:val="auto"/>
            </w:rPr>
            <w:t>Has anyone shown up unexpectedly at your medical appointments, support sessions, or other regular activities?</w:t>
          </w:r>
        </w:p>
        <w:p w14:paraId="24D88FF9" w14:textId="77777777" w:rsidR="00956F45" w:rsidRDefault="00956F45">
          <w:pPr>
            <w:rPr>
              <w:rFonts w:ascii="DM Sans" w:eastAsiaTheme="majorEastAsia" w:hAnsi="DM Sans" w:cstheme="majorBidi"/>
              <w:b/>
              <w:bCs/>
              <w:color w:val="auto"/>
              <w:sz w:val="36"/>
              <w:szCs w:val="28"/>
              <w:u w:val="single" w:color="FD4F00"/>
            </w:rPr>
          </w:pPr>
          <w:bookmarkStart w:id="35" w:name="_Toc240894276"/>
          <w:r>
            <w:rPr>
              <w:rFonts w:ascii="DM Sans" w:hAnsi="DM Sans"/>
            </w:rPr>
            <w:br w:type="page"/>
          </w:r>
        </w:p>
        <w:p w14:paraId="1D088F58" w14:textId="01D35E62" w:rsidR="008C7EFA" w:rsidRPr="009D30E3" w:rsidRDefault="008C7EFA" w:rsidP="008C7EFA">
          <w:pPr>
            <w:pStyle w:val="Heading1"/>
            <w:rPr>
              <w:rFonts w:ascii="DM Sans" w:hAnsi="DM Sans"/>
            </w:rPr>
          </w:pPr>
          <w:r w:rsidRPr="009D30E3">
            <w:rPr>
              <w:rFonts w:ascii="DM Sans" w:hAnsi="DM Sans"/>
            </w:rPr>
            <w:lastRenderedPageBreak/>
            <w:t>Bibliography</w:t>
          </w:r>
          <w:bookmarkEnd w:id="35"/>
        </w:p>
        <w:p w14:paraId="6C6FF131" w14:textId="77777777" w:rsidR="008C7EFA" w:rsidRPr="009D30E3" w:rsidRDefault="008C7EFA" w:rsidP="008C7EFA">
          <w:pPr>
            <w:rPr>
              <w:rFonts w:ascii="DM Sans" w:hAnsi="DM Sans"/>
              <w:color w:val="auto"/>
            </w:rPr>
          </w:pPr>
          <w:hyperlink r:id="rId14" w:history="1">
            <w:r w:rsidRPr="009D30E3">
              <w:rPr>
                <w:rStyle w:val="Hyperlink"/>
                <w:rFonts w:ascii="DM Sans" w:hAnsi="DM Sans"/>
                <w:color w:val="auto"/>
              </w:rPr>
              <w:t xml:space="preserve">Australian Institute of Health and Welfare. </w:t>
            </w:r>
            <w:r w:rsidRPr="009D30E3">
              <w:rPr>
                <w:rStyle w:val="Hyperlink"/>
                <w:rFonts w:ascii="DM Sans" w:hAnsi="DM Sans"/>
                <w:i/>
                <w:iCs/>
                <w:color w:val="auto"/>
              </w:rPr>
              <w:t>People with Disability: Family, Domestic and Sexual Violence</w:t>
            </w:r>
            <w:r w:rsidRPr="009D30E3">
              <w:rPr>
                <w:rStyle w:val="Hyperlink"/>
                <w:rFonts w:ascii="DM Sans" w:hAnsi="DM Sans"/>
                <w:color w:val="auto"/>
              </w:rPr>
              <w:t>. (2023)</w:t>
            </w:r>
          </w:hyperlink>
        </w:p>
        <w:p w14:paraId="1D84D6EB" w14:textId="77777777" w:rsidR="008C7EFA" w:rsidRPr="009D30E3" w:rsidRDefault="008C7EFA" w:rsidP="008C7EFA">
          <w:pPr>
            <w:rPr>
              <w:rFonts w:ascii="DM Sans" w:hAnsi="DM Sans"/>
              <w:color w:val="auto"/>
            </w:rPr>
          </w:pPr>
          <w:hyperlink r:id="rId15" w:history="1">
            <w:r w:rsidRPr="009D30E3">
              <w:rPr>
                <w:rStyle w:val="Hyperlink"/>
                <w:rFonts w:ascii="DM Sans" w:hAnsi="DM Sans"/>
                <w:color w:val="auto"/>
              </w:rPr>
              <w:t xml:space="preserve">Australian Law Reform Commission. </w:t>
            </w:r>
            <w:r w:rsidRPr="009D30E3">
              <w:rPr>
                <w:rStyle w:val="Hyperlink"/>
                <w:rFonts w:ascii="DM Sans" w:hAnsi="DM Sans"/>
                <w:i/>
                <w:iCs/>
                <w:color w:val="auto"/>
              </w:rPr>
              <w:t>Equality, Capacity and Disability in Commonwealth Laws.</w:t>
            </w:r>
            <w:r w:rsidRPr="009D30E3">
              <w:rPr>
                <w:rStyle w:val="Hyperlink"/>
                <w:rFonts w:ascii="DM Sans" w:hAnsi="DM Sans"/>
                <w:color w:val="auto"/>
              </w:rPr>
              <w:t xml:space="preserve"> ALRC Report 124. Australian Law Reform Commission (2014)</w:t>
            </w:r>
          </w:hyperlink>
        </w:p>
        <w:p w14:paraId="0C35C16D" w14:textId="77777777" w:rsidR="008C7EFA" w:rsidRPr="009D30E3" w:rsidRDefault="008C7EFA" w:rsidP="008C7EFA">
          <w:pPr>
            <w:rPr>
              <w:rFonts w:ascii="DM Sans" w:hAnsi="DM Sans"/>
              <w:color w:val="auto"/>
            </w:rPr>
          </w:pPr>
          <w:hyperlink r:id="rId16" w:history="1">
            <w:r w:rsidRPr="009D30E3">
              <w:rPr>
                <w:rStyle w:val="Hyperlink"/>
                <w:rFonts w:ascii="DM Sans" w:hAnsi="DM Sans"/>
                <w:color w:val="auto"/>
              </w:rPr>
              <w:t xml:space="preserve">Bigby, C; Carney, T; Then, S. </w:t>
            </w:r>
            <w:r w:rsidRPr="009D30E3">
              <w:rPr>
                <w:rStyle w:val="Hyperlink"/>
                <w:rFonts w:ascii="DM Sans" w:hAnsi="DM Sans"/>
                <w:i/>
                <w:iCs/>
                <w:color w:val="auto"/>
              </w:rPr>
              <w:t>Diversity, Dignity, Equity and Best Practice: A Framework for Supported Decision-Making.</w:t>
            </w:r>
            <w:r w:rsidRPr="009D30E3">
              <w:rPr>
                <w:rStyle w:val="Hyperlink"/>
                <w:rFonts w:ascii="DM Sans" w:hAnsi="DM Sans"/>
                <w:color w:val="auto"/>
              </w:rPr>
              <w:t xml:space="preserve"> La Trobe University (2023)</w:t>
            </w:r>
          </w:hyperlink>
        </w:p>
        <w:p w14:paraId="054A3417" w14:textId="77777777" w:rsidR="008C7EFA" w:rsidRPr="009D30E3" w:rsidRDefault="008C7EFA" w:rsidP="008C7EFA">
          <w:pPr>
            <w:rPr>
              <w:rFonts w:ascii="DM Sans" w:hAnsi="DM Sans"/>
              <w:color w:val="auto"/>
            </w:rPr>
          </w:pPr>
          <w:hyperlink r:id="rId17" w:history="1">
            <w:r w:rsidRPr="009D30E3">
              <w:rPr>
                <w:rStyle w:val="Hyperlink"/>
                <w:rFonts w:ascii="DM Sans" w:hAnsi="DM Sans"/>
                <w:color w:val="auto"/>
              </w:rPr>
              <w:t xml:space="preserve">Breckenridge, J; Singh, S; Lyons, G; </w:t>
            </w:r>
            <w:proofErr w:type="spellStart"/>
            <w:r w:rsidRPr="009D30E3">
              <w:rPr>
                <w:rStyle w:val="Hyperlink"/>
                <w:rFonts w:ascii="DM Sans" w:hAnsi="DM Sans"/>
                <w:color w:val="auto"/>
              </w:rPr>
              <w:t>Suchting</w:t>
            </w:r>
            <w:proofErr w:type="spellEnd"/>
            <w:r w:rsidRPr="009D30E3">
              <w:rPr>
                <w:rStyle w:val="Hyperlink"/>
                <w:rFonts w:ascii="DM Sans" w:hAnsi="DM Sans"/>
                <w:color w:val="auto"/>
              </w:rPr>
              <w:t xml:space="preserve">, M. </w:t>
            </w:r>
            <w:r w:rsidRPr="009D30E3">
              <w:rPr>
                <w:rStyle w:val="Hyperlink"/>
                <w:rFonts w:ascii="DM Sans" w:hAnsi="DM Sans"/>
                <w:i/>
                <w:iCs/>
                <w:color w:val="auto"/>
              </w:rPr>
              <w:t>Understanding Economic and Financial Abuse and Disability in the Context of Domestic and Family Violence.</w:t>
            </w:r>
            <w:r w:rsidRPr="009D30E3">
              <w:rPr>
                <w:rStyle w:val="Hyperlink"/>
                <w:rFonts w:ascii="DM Sans" w:hAnsi="DM Sans"/>
                <w:color w:val="auto"/>
              </w:rPr>
              <w:t xml:space="preserve"> UNSW Gendered Violence Research Network; Commonwealth Bank of Australia (2021)</w:t>
            </w:r>
          </w:hyperlink>
        </w:p>
        <w:p w14:paraId="0ABD0065" w14:textId="77777777" w:rsidR="008C7EFA" w:rsidRPr="009D30E3" w:rsidRDefault="008C7EFA" w:rsidP="008C7EFA">
          <w:pPr>
            <w:rPr>
              <w:rFonts w:ascii="DM Sans" w:hAnsi="DM Sans"/>
              <w:color w:val="auto"/>
            </w:rPr>
          </w:pPr>
          <w:hyperlink r:id="rId18" w:history="1">
            <w:r w:rsidRPr="009D30E3">
              <w:rPr>
                <w:rStyle w:val="Hyperlink"/>
                <w:rFonts w:ascii="DM Sans" w:hAnsi="DM Sans"/>
                <w:color w:val="auto"/>
              </w:rPr>
              <w:t xml:space="preserve">Charlton, JI. </w:t>
            </w:r>
            <w:r w:rsidRPr="009D30E3">
              <w:rPr>
                <w:rStyle w:val="Hyperlink"/>
                <w:rFonts w:ascii="DM Sans" w:hAnsi="DM Sans"/>
                <w:i/>
                <w:iCs/>
                <w:color w:val="auto"/>
              </w:rPr>
              <w:t>Nothing About Us Without Us: Disability Oppression and Empowerment.</w:t>
            </w:r>
            <w:r w:rsidRPr="009D30E3">
              <w:rPr>
                <w:rStyle w:val="Hyperlink"/>
                <w:rFonts w:ascii="DM Sans" w:hAnsi="DM Sans"/>
                <w:color w:val="auto"/>
              </w:rPr>
              <w:t xml:space="preserve"> University of California Press (1998)</w:t>
            </w:r>
          </w:hyperlink>
        </w:p>
        <w:p w14:paraId="0FC4D259" w14:textId="77777777" w:rsidR="008C7EFA" w:rsidRPr="009D30E3" w:rsidRDefault="008C7EFA" w:rsidP="008C7EFA">
          <w:pPr>
            <w:rPr>
              <w:rStyle w:val="Hyperlink"/>
              <w:rFonts w:ascii="DM Sans" w:hAnsi="DM Sans"/>
              <w:color w:val="auto"/>
            </w:rPr>
          </w:pPr>
          <w:r w:rsidRPr="009D30E3">
            <w:rPr>
              <w:rFonts w:ascii="DM Sans" w:hAnsi="DM Sans"/>
              <w:color w:val="auto"/>
            </w:rPr>
            <w:fldChar w:fldCharType="begin"/>
          </w:r>
          <w:r w:rsidRPr="009D30E3">
            <w:rPr>
              <w:rFonts w:ascii="DM Sans" w:hAnsi="DM Sans"/>
              <w:color w:val="auto"/>
            </w:rPr>
            <w:instrText>HYPERLINK "https://www.childrenbychoice.org.au/advice-and-support/reproductive-coercion-and-abuse/"</w:instrText>
          </w:r>
          <w:r w:rsidRPr="009D30E3">
            <w:rPr>
              <w:rFonts w:ascii="DM Sans" w:hAnsi="DM Sans"/>
              <w:color w:val="auto"/>
            </w:rPr>
          </w:r>
          <w:r w:rsidRPr="009D30E3">
            <w:rPr>
              <w:rFonts w:ascii="DM Sans" w:hAnsi="DM Sans"/>
              <w:color w:val="auto"/>
            </w:rPr>
            <w:fldChar w:fldCharType="separate"/>
          </w:r>
          <w:r w:rsidRPr="009D30E3">
            <w:rPr>
              <w:rStyle w:val="Hyperlink"/>
              <w:rFonts w:ascii="DM Sans" w:hAnsi="DM Sans"/>
              <w:color w:val="auto"/>
            </w:rPr>
            <w:t xml:space="preserve">Children by Choice. </w:t>
          </w:r>
          <w:r w:rsidRPr="009D30E3">
            <w:rPr>
              <w:rStyle w:val="Hyperlink"/>
              <w:rFonts w:ascii="DM Sans" w:hAnsi="DM Sans"/>
              <w:i/>
              <w:iCs/>
              <w:color w:val="auto"/>
            </w:rPr>
            <w:t>Reproductive Coercion and Abuse among Clients with Disabilities.</w:t>
          </w:r>
          <w:r w:rsidRPr="009D30E3">
            <w:rPr>
              <w:rStyle w:val="Hyperlink"/>
              <w:rFonts w:ascii="DM Sans" w:hAnsi="DM Sans"/>
              <w:color w:val="auto"/>
            </w:rPr>
            <w:t xml:space="preserve"> (2023)</w:t>
          </w:r>
        </w:p>
        <w:p w14:paraId="0CC667E4" w14:textId="77777777" w:rsidR="008C7EFA" w:rsidRPr="009D30E3" w:rsidRDefault="008C7EFA" w:rsidP="008C7EFA">
          <w:pPr>
            <w:rPr>
              <w:rFonts w:ascii="DM Sans" w:hAnsi="DM Sans"/>
              <w:color w:val="auto"/>
            </w:rPr>
          </w:pPr>
          <w:r w:rsidRPr="009D30E3">
            <w:rPr>
              <w:rFonts w:ascii="DM Sans" w:hAnsi="DM Sans"/>
              <w:color w:val="auto"/>
            </w:rPr>
            <w:fldChar w:fldCharType="end"/>
          </w:r>
          <w:hyperlink r:id="rId19" w:history="1">
            <w:r w:rsidRPr="009D30E3">
              <w:rPr>
                <w:rStyle w:val="Hyperlink"/>
                <w:rFonts w:ascii="DM Sans" w:hAnsi="DM Sans"/>
                <w:color w:val="auto"/>
              </w:rPr>
              <w:t xml:space="preserve">Dowse, L; </w:t>
            </w:r>
            <w:proofErr w:type="spellStart"/>
            <w:r w:rsidRPr="009D30E3">
              <w:rPr>
                <w:rStyle w:val="Hyperlink"/>
                <w:rFonts w:ascii="DM Sans" w:hAnsi="DM Sans"/>
                <w:color w:val="auto"/>
              </w:rPr>
              <w:t>Soldatic</w:t>
            </w:r>
            <w:proofErr w:type="spellEnd"/>
            <w:r w:rsidRPr="009D30E3">
              <w:rPr>
                <w:rStyle w:val="Hyperlink"/>
                <w:rFonts w:ascii="DM Sans" w:hAnsi="DM Sans"/>
                <w:color w:val="auto"/>
              </w:rPr>
              <w:t xml:space="preserve">, K; </w:t>
            </w:r>
            <w:proofErr w:type="spellStart"/>
            <w:r w:rsidRPr="009D30E3">
              <w:rPr>
                <w:rStyle w:val="Hyperlink"/>
                <w:rFonts w:ascii="DM Sans" w:hAnsi="DM Sans"/>
                <w:color w:val="auto"/>
              </w:rPr>
              <w:t>Spangaro</w:t>
            </w:r>
            <w:proofErr w:type="spellEnd"/>
            <w:r w:rsidRPr="009D30E3">
              <w:rPr>
                <w:rStyle w:val="Hyperlink"/>
                <w:rFonts w:ascii="DM Sans" w:hAnsi="DM Sans"/>
                <w:color w:val="auto"/>
              </w:rPr>
              <w:t xml:space="preserve">, J; Van </w:t>
            </w:r>
            <w:proofErr w:type="spellStart"/>
            <w:r w:rsidRPr="009D30E3">
              <w:rPr>
                <w:rStyle w:val="Hyperlink"/>
                <w:rFonts w:ascii="DM Sans" w:hAnsi="DM Sans"/>
                <w:color w:val="auto"/>
              </w:rPr>
              <w:t>Toorn</w:t>
            </w:r>
            <w:proofErr w:type="spellEnd"/>
            <w:r w:rsidRPr="009D30E3">
              <w:rPr>
                <w:rStyle w:val="Hyperlink"/>
                <w:rFonts w:ascii="DM Sans" w:hAnsi="DM Sans"/>
                <w:color w:val="auto"/>
              </w:rPr>
              <w:t xml:space="preserve">, G. "Mind the Gap: The Extent of Violence against Women with Disabilities in Australia." </w:t>
            </w:r>
            <w:r w:rsidRPr="009D30E3">
              <w:rPr>
                <w:rStyle w:val="Hyperlink"/>
                <w:rFonts w:ascii="DM Sans" w:hAnsi="DM Sans"/>
                <w:i/>
                <w:iCs/>
                <w:color w:val="auto"/>
              </w:rPr>
              <w:t>Australian Journal of Social Issues</w:t>
            </w:r>
            <w:r w:rsidRPr="009D30E3">
              <w:rPr>
                <w:rStyle w:val="Hyperlink"/>
                <w:rFonts w:ascii="DM Sans" w:hAnsi="DM Sans"/>
                <w:color w:val="auto"/>
              </w:rPr>
              <w:t xml:space="preserve"> 51, no. 3 (2016)</w:t>
            </w:r>
          </w:hyperlink>
        </w:p>
        <w:p w14:paraId="328C5B36" w14:textId="77777777" w:rsidR="008C7EFA" w:rsidRPr="009D30E3" w:rsidRDefault="008C7EFA" w:rsidP="008C7EFA">
          <w:pPr>
            <w:rPr>
              <w:rFonts w:ascii="DM Sans" w:hAnsi="DM Sans"/>
              <w:color w:val="auto"/>
            </w:rPr>
          </w:pPr>
          <w:hyperlink r:id="rId20" w:history="1">
            <w:r w:rsidRPr="009D30E3">
              <w:rPr>
                <w:rStyle w:val="Hyperlink"/>
                <w:rFonts w:ascii="DM Sans" w:hAnsi="DM Sans"/>
                <w:color w:val="auto"/>
              </w:rPr>
              <w:t xml:space="preserve">Dyson, S; Frawley, P; Robinson, S. </w:t>
            </w:r>
            <w:r w:rsidRPr="009D30E3">
              <w:rPr>
                <w:rStyle w:val="Hyperlink"/>
                <w:rFonts w:ascii="DM Sans" w:hAnsi="DM Sans"/>
                <w:i/>
                <w:iCs/>
                <w:color w:val="auto"/>
              </w:rPr>
              <w:t>"Whatever It Takes": Access for Women with Disabilities to Domestic and Family Violence Services.</w:t>
            </w:r>
            <w:r w:rsidRPr="009D30E3">
              <w:rPr>
                <w:rStyle w:val="Hyperlink"/>
                <w:rFonts w:ascii="DM Sans" w:hAnsi="DM Sans"/>
                <w:color w:val="auto"/>
              </w:rPr>
              <w:t xml:space="preserve"> ANROWS (2017)</w:t>
            </w:r>
          </w:hyperlink>
        </w:p>
        <w:p w14:paraId="4D940819" w14:textId="77777777" w:rsidR="008C7EFA" w:rsidRPr="009D30E3" w:rsidRDefault="008C7EFA" w:rsidP="008C7EFA">
          <w:pPr>
            <w:rPr>
              <w:rFonts w:ascii="DM Sans" w:hAnsi="DM Sans"/>
              <w:color w:val="auto"/>
            </w:rPr>
          </w:pPr>
          <w:hyperlink r:id="rId21" w:history="1">
            <w:r w:rsidRPr="009D30E3">
              <w:rPr>
                <w:rStyle w:val="Hyperlink"/>
                <w:rFonts w:ascii="DM Sans" w:hAnsi="DM Sans"/>
                <w:color w:val="auto"/>
              </w:rPr>
              <w:t xml:space="preserve">Economic Justice Australia. </w:t>
            </w:r>
            <w:r w:rsidRPr="009D30E3">
              <w:rPr>
                <w:rStyle w:val="Hyperlink"/>
                <w:rFonts w:ascii="DM Sans" w:hAnsi="DM Sans"/>
                <w:i/>
                <w:iCs/>
                <w:color w:val="auto"/>
              </w:rPr>
              <w:t>Dob-Ins and Domestic Violence: How Australia's Welfare Fraud Tip-</w:t>
            </w:r>
            <w:proofErr w:type="gramStart"/>
            <w:r w:rsidRPr="009D30E3">
              <w:rPr>
                <w:rStyle w:val="Hyperlink"/>
                <w:rFonts w:ascii="DM Sans" w:hAnsi="DM Sans"/>
                <w:i/>
                <w:iCs/>
                <w:color w:val="auto"/>
              </w:rPr>
              <w:t>off Line</w:t>
            </w:r>
            <w:proofErr w:type="gramEnd"/>
            <w:r w:rsidRPr="009D30E3">
              <w:rPr>
                <w:rStyle w:val="Hyperlink"/>
                <w:rFonts w:ascii="DM Sans" w:hAnsi="DM Sans"/>
                <w:i/>
                <w:iCs/>
                <w:color w:val="auto"/>
              </w:rPr>
              <w:t xml:space="preserve"> Makes Women Less Safe.</w:t>
            </w:r>
            <w:r w:rsidRPr="009D30E3">
              <w:rPr>
                <w:rStyle w:val="Hyperlink"/>
                <w:rFonts w:ascii="DM Sans" w:hAnsi="DM Sans"/>
                <w:color w:val="auto"/>
              </w:rPr>
              <w:t xml:space="preserve"> (2022)</w:t>
            </w:r>
          </w:hyperlink>
        </w:p>
        <w:p w14:paraId="43078CFC" w14:textId="77777777" w:rsidR="008C7EFA" w:rsidRPr="009D30E3" w:rsidRDefault="008C7EFA" w:rsidP="008C7EFA">
          <w:pPr>
            <w:rPr>
              <w:rStyle w:val="Hyperlink"/>
              <w:rFonts w:ascii="DM Sans" w:hAnsi="DM Sans"/>
              <w:color w:val="auto"/>
            </w:rPr>
          </w:pPr>
          <w:r w:rsidRPr="009D30E3">
            <w:rPr>
              <w:rFonts w:ascii="DM Sans" w:hAnsi="DM Sans"/>
              <w:color w:val="auto"/>
            </w:rPr>
            <w:fldChar w:fldCharType="begin"/>
          </w:r>
          <w:r w:rsidRPr="009D30E3">
            <w:rPr>
              <w:rFonts w:ascii="DM Sans" w:hAnsi="DM Sans"/>
              <w:color w:val="auto"/>
            </w:rPr>
            <w:instrText>HYPERLINK "https://doi.org/10.1080/09638288.2022.2025927"</w:instrText>
          </w:r>
          <w:r w:rsidRPr="009D30E3">
            <w:rPr>
              <w:rFonts w:ascii="DM Sans" w:hAnsi="DM Sans"/>
              <w:color w:val="auto"/>
            </w:rPr>
          </w:r>
          <w:r w:rsidRPr="009D30E3">
            <w:rPr>
              <w:rFonts w:ascii="DM Sans" w:hAnsi="DM Sans"/>
              <w:color w:val="auto"/>
            </w:rPr>
            <w:fldChar w:fldCharType="separate"/>
          </w:r>
          <w:r w:rsidRPr="009D30E3">
            <w:rPr>
              <w:rStyle w:val="Hyperlink"/>
              <w:rFonts w:ascii="DM Sans" w:hAnsi="DM Sans"/>
              <w:color w:val="auto"/>
            </w:rPr>
            <w:t xml:space="preserve">García-Cuéllar, MM; Pastor-Moreno, G; Ruiz-Pérez, I; Henares-Montiel, J. "The Prevalence of Intimate Partner Violence against Women with Disabilities: A Systematic Review of the Literature." </w:t>
          </w:r>
          <w:r w:rsidRPr="009D30E3">
            <w:rPr>
              <w:rStyle w:val="Hyperlink"/>
              <w:rFonts w:ascii="DM Sans" w:hAnsi="DM Sans"/>
              <w:i/>
              <w:iCs/>
              <w:color w:val="auto"/>
            </w:rPr>
            <w:t>Disability and Rehabilitation</w:t>
          </w:r>
          <w:r w:rsidRPr="009D30E3">
            <w:rPr>
              <w:rStyle w:val="Hyperlink"/>
              <w:rFonts w:ascii="DM Sans" w:hAnsi="DM Sans"/>
              <w:color w:val="auto"/>
            </w:rPr>
            <w:t xml:space="preserve"> 45, no. 1 (2023)</w:t>
          </w:r>
        </w:p>
        <w:p w14:paraId="13B87A96" w14:textId="77777777" w:rsidR="008C7EFA" w:rsidRPr="009D30E3" w:rsidRDefault="008C7EFA" w:rsidP="008C7EFA">
          <w:pPr>
            <w:rPr>
              <w:rFonts w:ascii="DM Sans" w:hAnsi="DM Sans"/>
              <w:color w:val="auto"/>
            </w:rPr>
          </w:pPr>
          <w:r w:rsidRPr="009D30E3">
            <w:rPr>
              <w:rFonts w:ascii="DM Sans" w:hAnsi="DM Sans"/>
              <w:color w:val="auto"/>
            </w:rPr>
            <w:fldChar w:fldCharType="end"/>
          </w:r>
          <w:hyperlink r:id="rId22" w:history="1">
            <w:r w:rsidRPr="009D30E3">
              <w:rPr>
                <w:rStyle w:val="Hyperlink"/>
                <w:rFonts w:ascii="DM Sans" w:hAnsi="DM Sans"/>
                <w:color w:val="auto"/>
              </w:rPr>
              <w:t xml:space="preserve">Harris, B; Woodlock, D. </w:t>
            </w:r>
            <w:r w:rsidRPr="009D30E3">
              <w:rPr>
                <w:rStyle w:val="Hyperlink"/>
                <w:rFonts w:ascii="DM Sans" w:hAnsi="DM Sans"/>
                <w:i/>
                <w:iCs/>
                <w:color w:val="auto"/>
              </w:rPr>
              <w:t>"For My Safety": Experiences of Technology-Facilitated Abuse among Women with Intellectual Disability or Cognitive Disability.</w:t>
            </w:r>
            <w:r w:rsidRPr="009D30E3">
              <w:rPr>
                <w:rStyle w:val="Hyperlink"/>
                <w:rFonts w:ascii="DM Sans" w:hAnsi="DM Sans"/>
                <w:color w:val="auto"/>
              </w:rPr>
              <w:t xml:space="preserve"> </w:t>
            </w:r>
            <w:proofErr w:type="spellStart"/>
            <w:r w:rsidRPr="009D30E3">
              <w:rPr>
                <w:rStyle w:val="Hyperlink"/>
                <w:rFonts w:ascii="DM Sans" w:hAnsi="DM Sans"/>
                <w:color w:val="auto"/>
              </w:rPr>
              <w:t>eSafety</w:t>
            </w:r>
            <w:proofErr w:type="spellEnd"/>
            <w:r w:rsidRPr="009D30E3">
              <w:rPr>
                <w:rStyle w:val="Hyperlink"/>
                <w:rFonts w:ascii="DM Sans" w:hAnsi="DM Sans"/>
                <w:color w:val="auto"/>
              </w:rPr>
              <w:t xml:space="preserve"> Commissioner (2021)</w:t>
            </w:r>
          </w:hyperlink>
        </w:p>
        <w:p w14:paraId="27439A92" w14:textId="77777777" w:rsidR="008C7EFA" w:rsidRPr="009D30E3" w:rsidRDefault="008C7EFA" w:rsidP="008C7EFA">
          <w:pPr>
            <w:rPr>
              <w:rFonts w:ascii="DM Sans" w:hAnsi="DM Sans"/>
              <w:color w:val="auto"/>
            </w:rPr>
          </w:pPr>
          <w:hyperlink r:id="rId23" w:history="1">
            <w:proofErr w:type="spellStart"/>
            <w:r w:rsidRPr="009D30E3">
              <w:rPr>
                <w:rStyle w:val="Hyperlink"/>
                <w:rFonts w:ascii="DM Sans" w:hAnsi="DM Sans"/>
                <w:color w:val="auto"/>
              </w:rPr>
              <w:t>Krnjacki</w:t>
            </w:r>
            <w:proofErr w:type="spellEnd"/>
            <w:r w:rsidRPr="009D30E3">
              <w:rPr>
                <w:rStyle w:val="Hyperlink"/>
                <w:rFonts w:ascii="DM Sans" w:hAnsi="DM Sans"/>
                <w:color w:val="auto"/>
              </w:rPr>
              <w:t xml:space="preserve">, L; Emerson, E; Llewellyn, G; Kavanagh, AM. "Prevalence and Risk of Violence against People with and without Disabilities: Findings from an Australian Population-Based Study." </w:t>
            </w:r>
            <w:r w:rsidRPr="009D30E3">
              <w:rPr>
                <w:rStyle w:val="Hyperlink"/>
                <w:rFonts w:ascii="DM Sans" w:hAnsi="DM Sans"/>
                <w:i/>
                <w:iCs/>
                <w:color w:val="auto"/>
              </w:rPr>
              <w:t>Australian and New Zealand Journal of Public Health</w:t>
            </w:r>
            <w:r w:rsidRPr="009D30E3">
              <w:rPr>
                <w:rStyle w:val="Hyperlink"/>
                <w:rFonts w:ascii="DM Sans" w:hAnsi="DM Sans"/>
                <w:color w:val="auto"/>
              </w:rPr>
              <w:t xml:space="preserve"> 40, no. 1 (2016)</w:t>
            </w:r>
          </w:hyperlink>
        </w:p>
        <w:p w14:paraId="678D90DA" w14:textId="77777777" w:rsidR="008C7EFA" w:rsidRPr="009D30E3" w:rsidRDefault="008C7EFA" w:rsidP="008C7EFA">
          <w:pPr>
            <w:rPr>
              <w:rFonts w:ascii="DM Sans" w:hAnsi="DM Sans"/>
              <w:color w:val="auto"/>
            </w:rPr>
          </w:pPr>
          <w:hyperlink r:id="rId24" w:history="1">
            <w:proofErr w:type="spellStart"/>
            <w:r w:rsidRPr="009D30E3">
              <w:rPr>
                <w:rStyle w:val="Hyperlink"/>
                <w:rFonts w:ascii="DM Sans" w:hAnsi="DM Sans"/>
                <w:color w:val="auto"/>
              </w:rPr>
              <w:t>Letico</w:t>
            </w:r>
            <w:proofErr w:type="spellEnd"/>
            <w:r w:rsidRPr="009D30E3">
              <w:rPr>
                <w:rStyle w:val="Hyperlink"/>
                <w:rFonts w:ascii="DM Sans" w:hAnsi="DM Sans"/>
                <w:color w:val="auto"/>
              </w:rPr>
              <w:t xml:space="preserve">, V. "Deaf Women Are Twice as Likely to Experience Domestic Violence. How Perpetrators </w:t>
            </w:r>
            <w:proofErr w:type="spellStart"/>
            <w:r w:rsidRPr="009D30E3">
              <w:rPr>
                <w:rStyle w:val="Hyperlink"/>
                <w:rFonts w:ascii="DM Sans" w:hAnsi="DM Sans"/>
                <w:color w:val="auto"/>
              </w:rPr>
              <w:t>Weaponise</w:t>
            </w:r>
            <w:proofErr w:type="spellEnd"/>
            <w:r w:rsidRPr="009D30E3">
              <w:rPr>
                <w:rStyle w:val="Hyperlink"/>
                <w:rFonts w:ascii="DM Sans" w:hAnsi="DM Sans"/>
                <w:color w:val="auto"/>
              </w:rPr>
              <w:t xml:space="preserve"> Disability." Victoria University (2024)</w:t>
            </w:r>
          </w:hyperlink>
        </w:p>
        <w:p w14:paraId="3CFAF5C7" w14:textId="77777777" w:rsidR="008C7EFA" w:rsidRPr="009D30E3" w:rsidRDefault="008C7EFA" w:rsidP="008C7EFA">
          <w:pPr>
            <w:rPr>
              <w:rFonts w:ascii="DM Sans" w:hAnsi="DM Sans"/>
              <w:color w:val="auto"/>
            </w:rPr>
          </w:pPr>
          <w:hyperlink r:id="rId25" w:history="1">
            <w:proofErr w:type="spellStart"/>
            <w:r w:rsidRPr="009D30E3">
              <w:rPr>
                <w:rStyle w:val="Hyperlink"/>
                <w:rFonts w:ascii="DM Sans" w:hAnsi="DM Sans"/>
                <w:color w:val="auto"/>
              </w:rPr>
              <w:t>Libesman</w:t>
            </w:r>
            <w:proofErr w:type="spellEnd"/>
            <w:r w:rsidRPr="009D30E3">
              <w:rPr>
                <w:rStyle w:val="Hyperlink"/>
                <w:rFonts w:ascii="DM Sans" w:hAnsi="DM Sans"/>
                <w:color w:val="auto"/>
              </w:rPr>
              <w:t xml:space="preserve">, T; Gray, P; Chandler, E; Briskman, L; Didi, A; Avery, S. </w:t>
            </w:r>
            <w:r w:rsidRPr="009D30E3">
              <w:rPr>
                <w:rStyle w:val="Hyperlink"/>
                <w:rFonts w:ascii="DM Sans" w:hAnsi="DM Sans"/>
                <w:i/>
                <w:iCs/>
                <w:color w:val="auto"/>
              </w:rPr>
              <w:t>Parents with Disability and Their Experiences of Child Protection Systems.</w:t>
            </w:r>
            <w:r w:rsidRPr="009D30E3">
              <w:rPr>
                <w:rStyle w:val="Hyperlink"/>
                <w:rFonts w:ascii="DM Sans" w:hAnsi="DM Sans"/>
                <w:color w:val="auto"/>
              </w:rPr>
              <w:t xml:space="preserve"> Royal Commission into Violence, Abuse, Neglect and Exploitation of People with Disability (2023)</w:t>
            </w:r>
          </w:hyperlink>
        </w:p>
        <w:p w14:paraId="02B3B36E" w14:textId="77777777" w:rsidR="008C7EFA" w:rsidRPr="009D30E3" w:rsidRDefault="008C7EFA" w:rsidP="008C7EFA">
          <w:pPr>
            <w:rPr>
              <w:rFonts w:ascii="DM Sans" w:hAnsi="DM Sans"/>
              <w:color w:val="auto"/>
            </w:rPr>
          </w:pPr>
          <w:hyperlink r:id="rId26" w:history="1">
            <w:r w:rsidRPr="009D30E3">
              <w:rPr>
                <w:rStyle w:val="Hyperlink"/>
                <w:rFonts w:ascii="DM Sans" w:hAnsi="DM Sans"/>
                <w:color w:val="auto"/>
              </w:rPr>
              <w:t xml:space="preserve">Lima, F; O'Donnell, M; Bourke, J; et al. "Child Protection Involvement of Children of Mothers with Intellectual Disability." </w:t>
            </w:r>
            <w:r w:rsidRPr="009D30E3">
              <w:rPr>
                <w:rStyle w:val="Hyperlink"/>
                <w:rFonts w:ascii="DM Sans" w:hAnsi="DM Sans"/>
                <w:i/>
                <w:iCs/>
                <w:color w:val="auto"/>
              </w:rPr>
              <w:t>Child Abuse &amp; Neglect</w:t>
            </w:r>
            <w:r w:rsidRPr="009D30E3">
              <w:rPr>
                <w:rStyle w:val="Hyperlink"/>
                <w:rFonts w:ascii="DM Sans" w:hAnsi="DM Sans"/>
                <w:color w:val="auto"/>
              </w:rPr>
              <w:t xml:space="preserve"> 126 (2022)</w:t>
            </w:r>
          </w:hyperlink>
        </w:p>
        <w:p w14:paraId="42F73829" w14:textId="77777777" w:rsidR="008C7EFA" w:rsidRPr="009D30E3" w:rsidRDefault="008C7EFA" w:rsidP="008C7EFA">
          <w:pPr>
            <w:rPr>
              <w:rFonts w:ascii="DM Sans" w:hAnsi="DM Sans"/>
              <w:color w:val="auto"/>
            </w:rPr>
          </w:pPr>
          <w:hyperlink r:id="rId27" w:history="1">
            <w:r w:rsidRPr="009D30E3">
              <w:rPr>
                <w:rStyle w:val="Hyperlink"/>
                <w:rFonts w:ascii="DM Sans" w:hAnsi="DM Sans"/>
                <w:color w:val="auto"/>
              </w:rPr>
              <w:t xml:space="preserve">Maher, J; Spivakovsky, C; McCulloch, J; et al. </w:t>
            </w:r>
            <w:r w:rsidRPr="009D30E3">
              <w:rPr>
                <w:rStyle w:val="Hyperlink"/>
                <w:rFonts w:ascii="DM Sans" w:hAnsi="DM Sans"/>
                <w:i/>
                <w:iCs/>
                <w:color w:val="auto"/>
              </w:rPr>
              <w:t>Women, Disability and Violence: Barriers to Accessing Justice.</w:t>
            </w:r>
            <w:r w:rsidRPr="009D30E3">
              <w:rPr>
                <w:rStyle w:val="Hyperlink"/>
                <w:rFonts w:ascii="DM Sans" w:hAnsi="DM Sans"/>
                <w:color w:val="auto"/>
              </w:rPr>
              <w:t xml:space="preserve"> ANROWS (2018)</w:t>
            </w:r>
          </w:hyperlink>
        </w:p>
        <w:p w14:paraId="21325564" w14:textId="77777777" w:rsidR="008C7EFA" w:rsidRPr="009D30E3" w:rsidRDefault="008C7EFA" w:rsidP="008C7EFA">
          <w:pPr>
            <w:rPr>
              <w:rFonts w:ascii="DM Sans" w:hAnsi="DM Sans"/>
              <w:color w:val="auto"/>
            </w:rPr>
          </w:pPr>
          <w:hyperlink r:id="rId28" w:history="1">
            <w:r w:rsidRPr="009D30E3">
              <w:rPr>
                <w:rStyle w:val="Hyperlink"/>
                <w:rFonts w:ascii="DM Sans" w:hAnsi="DM Sans"/>
                <w:color w:val="auto"/>
              </w:rPr>
              <w:t xml:space="preserve">National Disability Insurance Agency. </w:t>
            </w:r>
            <w:r w:rsidRPr="009D30E3">
              <w:rPr>
                <w:rStyle w:val="Hyperlink"/>
                <w:rFonts w:ascii="DM Sans" w:hAnsi="DM Sans"/>
                <w:i/>
                <w:iCs/>
                <w:color w:val="auto"/>
              </w:rPr>
              <w:t>Fraud Fusion Taskforce Investigates $1 Billion in NDIS Payments in First Year.</w:t>
            </w:r>
            <w:r w:rsidRPr="009D30E3">
              <w:rPr>
                <w:rStyle w:val="Hyperlink"/>
                <w:rFonts w:ascii="DM Sans" w:hAnsi="DM Sans"/>
                <w:color w:val="auto"/>
              </w:rPr>
              <w:t xml:space="preserve"> (2024)</w:t>
            </w:r>
          </w:hyperlink>
        </w:p>
        <w:p w14:paraId="2302954D" w14:textId="77777777" w:rsidR="008C7EFA" w:rsidRPr="009D30E3" w:rsidRDefault="008C7EFA" w:rsidP="008C7EFA">
          <w:pPr>
            <w:rPr>
              <w:rFonts w:ascii="DM Sans" w:hAnsi="DM Sans"/>
              <w:color w:val="auto"/>
            </w:rPr>
          </w:pPr>
          <w:hyperlink r:id="rId29" w:history="1">
            <w:r w:rsidRPr="009D30E3">
              <w:rPr>
                <w:rStyle w:val="Hyperlink"/>
                <w:rFonts w:ascii="DM Sans" w:hAnsi="DM Sans"/>
                <w:color w:val="auto"/>
              </w:rPr>
              <w:t xml:space="preserve">Our Watch and Women with Disabilities Victoria. </w:t>
            </w:r>
            <w:r w:rsidRPr="009D30E3">
              <w:rPr>
                <w:rStyle w:val="Hyperlink"/>
                <w:rFonts w:ascii="DM Sans" w:hAnsi="DM Sans"/>
                <w:i/>
                <w:iCs/>
                <w:color w:val="auto"/>
              </w:rPr>
              <w:t>Changing the Landscape: A National Resource to Prevent Violence against Women and Girls with Disabilities.</w:t>
            </w:r>
            <w:r w:rsidRPr="009D30E3">
              <w:rPr>
                <w:rStyle w:val="Hyperlink"/>
                <w:rFonts w:ascii="DM Sans" w:hAnsi="DM Sans"/>
                <w:color w:val="auto"/>
              </w:rPr>
              <w:t xml:space="preserve"> Our Watch (2022)</w:t>
            </w:r>
          </w:hyperlink>
        </w:p>
        <w:p w14:paraId="352678C0" w14:textId="77777777" w:rsidR="008C7EFA" w:rsidRPr="009D30E3" w:rsidRDefault="008C7EFA" w:rsidP="008C7EFA">
          <w:pPr>
            <w:rPr>
              <w:rStyle w:val="Hyperlink"/>
              <w:rFonts w:ascii="DM Sans" w:hAnsi="DM Sans"/>
              <w:color w:val="auto"/>
            </w:rPr>
          </w:pPr>
          <w:r w:rsidRPr="009D30E3">
            <w:rPr>
              <w:rFonts w:ascii="DM Sans" w:hAnsi="DM Sans"/>
              <w:color w:val="auto"/>
            </w:rPr>
            <w:fldChar w:fldCharType="begin"/>
          </w:r>
          <w:r w:rsidRPr="009D30E3">
            <w:rPr>
              <w:rFonts w:ascii="DM Sans" w:hAnsi="DM Sans"/>
              <w:color w:val="auto"/>
            </w:rPr>
            <w:instrText>HYPERLINK "https://www.vic.gov.au/state-disability-plan/our-language/person-first-and-identity-first-language"</w:instrText>
          </w:r>
          <w:r w:rsidRPr="009D30E3">
            <w:rPr>
              <w:rFonts w:ascii="DM Sans" w:hAnsi="DM Sans"/>
              <w:color w:val="auto"/>
            </w:rPr>
          </w:r>
          <w:r w:rsidRPr="009D30E3">
            <w:rPr>
              <w:rFonts w:ascii="DM Sans" w:hAnsi="DM Sans"/>
              <w:color w:val="auto"/>
            </w:rPr>
            <w:fldChar w:fldCharType="separate"/>
          </w:r>
          <w:r w:rsidRPr="009D30E3">
            <w:rPr>
              <w:rStyle w:val="Hyperlink"/>
              <w:rFonts w:ascii="DM Sans" w:hAnsi="DM Sans"/>
              <w:color w:val="auto"/>
            </w:rPr>
            <w:t xml:space="preserve">State of Victoria, Australia, Department of Families, Fairness and Housing. </w:t>
          </w:r>
          <w:r w:rsidRPr="009D30E3">
            <w:rPr>
              <w:rStyle w:val="Hyperlink"/>
              <w:rFonts w:ascii="DM Sans" w:hAnsi="DM Sans"/>
              <w:i/>
              <w:iCs/>
              <w:color w:val="auto"/>
            </w:rPr>
            <w:t xml:space="preserve">Person-First and Identity-First Language </w:t>
          </w:r>
          <w:r w:rsidRPr="009D30E3">
            <w:rPr>
              <w:rStyle w:val="Hyperlink"/>
              <w:rFonts w:ascii="DM Sans" w:hAnsi="DM Sans"/>
              <w:color w:val="auto"/>
            </w:rPr>
            <w:t>(2022)</w:t>
          </w:r>
        </w:p>
        <w:p w14:paraId="1FF3260F" w14:textId="77777777" w:rsidR="008C7EFA" w:rsidRPr="009D30E3" w:rsidRDefault="008C7EFA" w:rsidP="008C7EFA">
          <w:pPr>
            <w:rPr>
              <w:rFonts w:ascii="DM Sans" w:hAnsi="DM Sans"/>
              <w:color w:val="auto"/>
            </w:rPr>
          </w:pPr>
          <w:r w:rsidRPr="009D30E3">
            <w:rPr>
              <w:rFonts w:ascii="DM Sans" w:hAnsi="DM Sans"/>
              <w:color w:val="auto"/>
            </w:rPr>
            <w:fldChar w:fldCharType="end"/>
          </w:r>
          <w:hyperlink r:id="rId30" w:history="1">
            <w:r w:rsidRPr="009D30E3">
              <w:rPr>
                <w:rStyle w:val="Hyperlink"/>
                <w:rFonts w:ascii="DM Sans" w:hAnsi="DM Sans"/>
                <w:color w:val="auto"/>
              </w:rPr>
              <w:t xml:space="preserve">Royal Commission into Violence, Abuse, Neglect and Exploitation of People with Disability. </w:t>
            </w:r>
            <w:r w:rsidRPr="009D30E3">
              <w:rPr>
                <w:rStyle w:val="Hyperlink"/>
                <w:rFonts w:ascii="DM Sans" w:hAnsi="DM Sans"/>
                <w:i/>
                <w:iCs/>
                <w:color w:val="auto"/>
              </w:rPr>
              <w:t>Final Report: Abuse, Neglect and Exploitation of People with Disability.</w:t>
            </w:r>
            <w:r w:rsidRPr="009D30E3">
              <w:rPr>
                <w:rStyle w:val="Hyperlink"/>
                <w:rFonts w:ascii="DM Sans" w:hAnsi="DM Sans"/>
                <w:color w:val="auto"/>
              </w:rPr>
              <w:t xml:space="preserve"> Commonwealth of Australia (2023)</w:t>
            </w:r>
          </w:hyperlink>
        </w:p>
        <w:p w14:paraId="4E07CBCA" w14:textId="77777777" w:rsidR="008C7EFA" w:rsidRPr="009D30E3" w:rsidRDefault="008C7EFA" w:rsidP="008C7EFA">
          <w:pPr>
            <w:rPr>
              <w:rFonts w:ascii="DM Sans" w:hAnsi="DM Sans"/>
              <w:color w:val="auto"/>
            </w:rPr>
          </w:pPr>
          <w:hyperlink r:id="rId31" w:history="1">
            <w:r w:rsidRPr="009D30E3">
              <w:rPr>
                <w:rStyle w:val="Hyperlink"/>
                <w:rFonts w:ascii="DM Sans" w:hAnsi="DM Sans"/>
                <w:color w:val="auto"/>
              </w:rPr>
              <w:t xml:space="preserve">Royal Commission into Violence, Abuse, Neglect and Exploitation of People with Disability. </w:t>
            </w:r>
            <w:r w:rsidRPr="009D30E3">
              <w:rPr>
                <w:rStyle w:val="Hyperlink"/>
                <w:rFonts w:ascii="DM Sans" w:hAnsi="DM Sans"/>
                <w:i/>
                <w:iCs/>
                <w:color w:val="auto"/>
              </w:rPr>
              <w:t>Final Report: Volume 3: Nature and Extent of Violence, Abuse, Neglect and Exploitation.</w:t>
            </w:r>
            <w:r w:rsidRPr="009D30E3">
              <w:rPr>
                <w:rStyle w:val="Hyperlink"/>
                <w:rFonts w:ascii="DM Sans" w:hAnsi="DM Sans"/>
                <w:color w:val="auto"/>
              </w:rPr>
              <w:t xml:space="preserve"> Commonwealth of Australia (2023)</w:t>
            </w:r>
          </w:hyperlink>
        </w:p>
        <w:p w14:paraId="1C21E305" w14:textId="77777777" w:rsidR="008C7EFA" w:rsidRPr="009D30E3" w:rsidRDefault="008C7EFA" w:rsidP="008C7EFA">
          <w:pPr>
            <w:rPr>
              <w:rFonts w:ascii="DM Sans" w:hAnsi="DM Sans"/>
              <w:color w:val="auto"/>
            </w:rPr>
          </w:pPr>
          <w:hyperlink r:id="rId32" w:history="1">
            <w:r w:rsidRPr="009D30E3">
              <w:rPr>
                <w:rStyle w:val="Hyperlink"/>
                <w:rFonts w:ascii="DM Sans" w:hAnsi="DM Sans"/>
                <w:color w:val="auto"/>
              </w:rPr>
              <w:t xml:space="preserve">Saldanha, S; </w:t>
            </w:r>
            <w:proofErr w:type="spellStart"/>
            <w:r w:rsidRPr="009D30E3">
              <w:rPr>
                <w:rStyle w:val="Hyperlink"/>
                <w:rFonts w:ascii="DM Sans" w:hAnsi="DM Sans"/>
                <w:color w:val="auto"/>
              </w:rPr>
              <w:t>Botfield</w:t>
            </w:r>
            <w:proofErr w:type="spellEnd"/>
            <w:r w:rsidRPr="009D30E3">
              <w:rPr>
                <w:rStyle w:val="Hyperlink"/>
                <w:rFonts w:ascii="DM Sans" w:hAnsi="DM Sans"/>
                <w:color w:val="auto"/>
              </w:rPr>
              <w:t xml:space="preserve">, JR; Moradi, M; Wong, J; Mazza, D. "Australian Health and Social Service Providers' Perspectives on Interpersonal and Structural Forms of Reproductive Coercion." </w:t>
            </w:r>
            <w:r w:rsidRPr="009D30E3">
              <w:rPr>
                <w:rStyle w:val="Hyperlink"/>
                <w:rFonts w:ascii="DM Sans" w:hAnsi="DM Sans"/>
                <w:i/>
                <w:iCs/>
                <w:color w:val="auto"/>
              </w:rPr>
              <w:t>Social Science &amp; Medicine</w:t>
            </w:r>
            <w:r w:rsidRPr="009D30E3">
              <w:rPr>
                <w:rStyle w:val="Hyperlink"/>
                <w:rFonts w:ascii="DM Sans" w:hAnsi="DM Sans"/>
                <w:color w:val="auto"/>
              </w:rPr>
              <w:t xml:space="preserve"> 385 (2025)</w:t>
            </w:r>
          </w:hyperlink>
        </w:p>
        <w:p w14:paraId="37561147" w14:textId="77777777" w:rsidR="00C12290" w:rsidRPr="009D30E3" w:rsidRDefault="00C12290">
          <w:pPr>
            <w:rPr>
              <w:rFonts w:ascii="DM Sans" w:hAnsi="DM Sans"/>
              <w:bCs/>
              <w:szCs w:val="20"/>
            </w:rPr>
          </w:pPr>
        </w:p>
        <w:p w14:paraId="699F1499" w14:textId="3FD7F11F" w:rsidR="00014E78" w:rsidRPr="009D30E3" w:rsidRDefault="008C7EFA" w:rsidP="00824835">
          <w:pPr>
            <w:rPr>
              <w:rFonts w:ascii="DM Sans" w:hAnsi="DM Sans"/>
              <w:bCs/>
              <w:szCs w:val="20"/>
            </w:rPr>
          </w:pPr>
        </w:p>
      </w:sdtContent>
    </w:sdt>
    <w:sectPr w:rsidR="00014E78" w:rsidRPr="009D30E3" w:rsidSect="009D30E3">
      <w:footerReference w:type="default" r:id="rId33"/>
      <w:headerReference w:type="first" r:id="rId34"/>
      <w:pgSz w:w="11900" w:h="16820"/>
      <w:pgMar w:top="1440" w:right="1701" w:bottom="1701" w:left="1440" w:header="119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A2868" w14:textId="77777777" w:rsidR="00B34A9B" w:rsidRDefault="00B34A9B" w:rsidP="00E02509">
      <w:pPr>
        <w:spacing w:after="0" w:line="240" w:lineRule="auto"/>
      </w:pPr>
      <w:r>
        <w:separator/>
      </w:r>
    </w:p>
  </w:endnote>
  <w:endnote w:type="continuationSeparator" w:id="0">
    <w:p w14:paraId="45714AA6" w14:textId="77777777" w:rsidR="00B34A9B" w:rsidRDefault="00B34A9B" w:rsidP="00E02509">
      <w:pPr>
        <w:spacing w:after="0" w:line="240" w:lineRule="auto"/>
      </w:pPr>
      <w:r>
        <w:continuationSeparator/>
      </w:r>
    </w:p>
  </w:endnote>
  <w:endnote w:type="continuationNotice" w:id="1">
    <w:p w14:paraId="73B289AF" w14:textId="77777777" w:rsidR="00B34A9B" w:rsidRDefault="00B34A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Times New Roman"/>
    <w:charset w:val="00"/>
    <w:family w:val="auto"/>
    <w:pitch w:val="variable"/>
    <w:sig w:usb0="00000001" w:usb1="4000005B" w:usb2="00000000" w:usb3="00000000" w:csb0="0000009B" w:csb1="00000000"/>
  </w:font>
  <w:font w:name="Gotham Extra Light Italic">
    <w:altName w:val="Times New Roman"/>
    <w:charset w:val="00"/>
    <w:family w:val="auto"/>
    <w:pitch w:val="variable"/>
    <w:sig w:usb0="00000001" w:usb1="4000005B" w:usb2="00000000" w:usb3="00000000" w:csb0="0000009B" w:csb1="00000000"/>
  </w:font>
  <w:font w:name="Gotham Medium Italic">
    <w:altName w:val="Times New Roman"/>
    <w:charset w:val="00"/>
    <w:family w:val="auto"/>
    <w:pitch w:val="variable"/>
    <w:sig w:usb0="00000001" w:usb1="4000005B" w:usb2="00000000" w:usb3="00000000" w:csb0="0000009B"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00CB" w14:textId="1E7553AF" w:rsidR="009D30E3" w:rsidRDefault="008C7EFA">
    <w:pPr>
      <w:pStyle w:val="Footer"/>
    </w:pPr>
    <w:r w:rsidRPr="00C733A8">
      <w:rPr>
        <w:rFonts w:ascii="Arial" w:hAnsi="Arial"/>
        <w:b/>
        <w:bCs/>
        <w:noProof/>
        <w:sz w:val="16"/>
        <w:szCs w:val="16"/>
      </w:rPr>
      <mc:AlternateContent>
        <mc:Choice Requires="wps">
          <w:drawing>
            <wp:anchor distT="0" distB="0" distL="114300" distR="114300" simplePos="0" relativeHeight="251659264" behindDoc="1" locked="0" layoutInCell="1" allowOverlap="1" wp14:anchorId="64D02BCB" wp14:editId="2C9B0179">
              <wp:simplePos x="0" y="0"/>
              <wp:positionH relativeFrom="page">
                <wp:align>right</wp:align>
              </wp:positionH>
              <wp:positionV relativeFrom="page">
                <wp:posOffset>9690100</wp:posOffset>
              </wp:positionV>
              <wp:extent cx="7550150" cy="992505"/>
              <wp:effectExtent l="0" t="0" r="0" b="0"/>
              <wp:wrapNone/>
              <wp:docPr id="226" name="Rectangle 226"/>
              <wp:cNvGraphicFramePr/>
              <a:graphic xmlns:a="http://schemas.openxmlformats.org/drawingml/2006/main">
                <a:graphicData uri="http://schemas.microsoft.com/office/word/2010/wordprocessingShape">
                  <wps:wsp>
                    <wps:cNvSpPr/>
                    <wps:spPr>
                      <a:xfrm>
                        <a:off x="0" y="0"/>
                        <a:ext cx="7550150" cy="992505"/>
                      </a:xfrm>
                      <a:prstGeom prst="rect">
                        <a:avLst/>
                      </a:prstGeom>
                      <a:solidFill>
                        <a:srgbClr val="E6E4D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91ECB" w14:textId="77777777" w:rsidR="00C733A8" w:rsidRPr="00C33232" w:rsidRDefault="00C733A8" w:rsidP="007B41DD">
                          <w:pPr>
                            <w:spacing w:before="120" w:after="0"/>
                            <w:ind w:left="170"/>
                            <w:rPr>
                              <w:b/>
                              <w:bCs/>
                              <w:sz w:val="16"/>
                              <w:szCs w:val="16"/>
                            </w:rPr>
                          </w:pPr>
                          <w:r w:rsidRPr="00C33232">
                            <w:rPr>
                              <w:b/>
                              <w:bCs/>
                              <w:sz w:val="16"/>
                              <w:szCs w:val="16"/>
                            </w:rPr>
                            <w:fldChar w:fldCharType="begin"/>
                          </w:r>
                          <w:r w:rsidRPr="00C33232">
                            <w:rPr>
                              <w:b/>
                              <w:bCs/>
                              <w:sz w:val="16"/>
                              <w:szCs w:val="16"/>
                            </w:rPr>
                            <w:instrText xml:space="preserve"> PAGE   \* MERGEFORMAT </w:instrText>
                          </w:r>
                          <w:r w:rsidRPr="00C33232">
                            <w:rPr>
                              <w:b/>
                              <w:bCs/>
                              <w:sz w:val="16"/>
                              <w:szCs w:val="16"/>
                            </w:rPr>
                            <w:fldChar w:fldCharType="separate"/>
                          </w:r>
                          <w:r w:rsidRPr="00C33232">
                            <w:rPr>
                              <w:b/>
                              <w:bCs/>
                              <w:noProof/>
                              <w:sz w:val="16"/>
                              <w:szCs w:val="16"/>
                            </w:rPr>
                            <w:t>5</w:t>
                          </w:r>
                          <w:r w:rsidRPr="00C33232">
                            <w:rPr>
                              <w:b/>
                              <w:bCs/>
                              <w:noProof/>
                              <w:sz w:val="16"/>
                              <w:szCs w:val="16"/>
                            </w:rPr>
                            <w:fldChar w:fldCharType="end"/>
                          </w:r>
                        </w:p>
                        <w:p w14:paraId="30CF4237" w14:textId="77777777" w:rsidR="00C733A8" w:rsidRPr="00F57A79" w:rsidRDefault="00C733A8" w:rsidP="007B41DD">
                          <w:pPr>
                            <w:spacing w:before="260" w:after="0"/>
                            <w:ind w:left="170"/>
                            <w:rPr>
                              <w:i/>
                              <w:sz w:val="16"/>
                              <w:szCs w:val="16"/>
                              <w:lang w:val="en-US"/>
                            </w:rPr>
                          </w:pPr>
                          <w:r w:rsidRPr="00FB551A">
                            <w:rPr>
                              <w:b/>
                              <w:bCs/>
                              <w:sz w:val="16"/>
                              <w:szCs w:val="16"/>
                            </w:rPr>
                            <w:t>Safe and Equal</w:t>
                          </w:r>
                          <w:r>
                            <w:rPr>
                              <w:sz w:val="16"/>
                              <w:szCs w:val="16"/>
                            </w:rPr>
                            <w:br/>
                          </w:r>
                          <w:r w:rsidRPr="00340C51">
                            <w:rPr>
                              <w:rFonts w:cs="DM Sans"/>
                              <w:sz w:val="16"/>
                              <w:szCs w:val="16"/>
                            </w:rPr>
                            <w:t>safeandequal.org.au</w:t>
                          </w:r>
                        </w:p>
                        <w:p w14:paraId="1A2C0F93" w14:textId="77777777" w:rsidR="00C733A8" w:rsidRDefault="00C733A8" w:rsidP="007B41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02BCB" id="Rectangle 226" o:spid="_x0000_s1028" style="position:absolute;margin-left:543.3pt;margin-top:763pt;width:594.5pt;height:78.1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" fillcolor="#e6e4dc" stroked="f" strokeweight="2pt">
              <v:textbox>
                <w:txbxContent>
                  <w:p w14:paraId="59691ECB" w14:textId="77777777" w:rsidR="00C733A8" w:rsidRPr="00C33232" w:rsidRDefault="00C733A8" w:rsidP="007B41DD">
                    <w:pPr>
                      <w:spacing w:before="120" w:after="0"/>
                      <w:ind w:left="170"/>
                      <w:rPr>
                        <w:b/>
                        <w:bCs/>
                        <w:sz w:val="16"/>
                        <w:szCs w:val="16"/>
                      </w:rPr>
                    </w:pPr>
                    <w:r w:rsidRPr="00C33232">
                      <w:rPr>
                        <w:b/>
                        <w:bCs/>
                        <w:sz w:val="16"/>
                        <w:szCs w:val="16"/>
                      </w:rPr>
                      <w:fldChar w:fldCharType="begin"/>
                    </w:r>
                    <w:r w:rsidRPr="00C33232">
                      <w:rPr>
                        <w:b/>
                        <w:bCs/>
                        <w:sz w:val="16"/>
                        <w:szCs w:val="16"/>
                      </w:rPr>
                      <w:instrText xml:space="preserve"> PAGE   \* MERGEFORMAT </w:instrText>
                    </w:r>
                    <w:r w:rsidRPr="00C33232">
                      <w:rPr>
                        <w:b/>
                        <w:bCs/>
                        <w:sz w:val="16"/>
                        <w:szCs w:val="16"/>
                      </w:rPr>
                      <w:fldChar w:fldCharType="separate"/>
                    </w:r>
                    <w:r w:rsidRPr="00C33232">
                      <w:rPr>
                        <w:b/>
                        <w:bCs/>
                        <w:noProof/>
                        <w:sz w:val="16"/>
                        <w:szCs w:val="16"/>
                      </w:rPr>
                      <w:t>5</w:t>
                    </w:r>
                    <w:r w:rsidRPr="00C33232">
                      <w:rPr>
                        <w:b/>
                        <w:bCs/>
                        <w:noProof/>
                        <w:sz w:val="16"/>
                        <w:szCs w:val="16"/>
                      </w:rPr>
                      <w:fldChar w:fldCharType="end"/>
                    </w:r>
                  </w:p>
                  <w:p w14:paraId="30CF4237" w14:textId="77777777" w:rsidR="00C733A8" w:rsidRPr="00F57A79" w:rsidRDefault="00C733A8" w:rsidP="007B41DD">
                    <w:pPr>
                      <w:spacing w:before="260" w:after="0"/>
                      <w:ind w:left="170"/>
                      <w:rPr>
                        <w:i/>
                        <w:sz w:val="16"/>
                        <w:szCs w:val="16"/>
                        <w:lang w:val="en-US"/>
                      </w:rPr>
                    </w:pPr>
                    <w:r w:rsidRPr="00FB551A">
                      <w:rPr>
                        <w:b/>
                        <w:bCs/>
                        <w:sz w:val="16"/>
                        <w:szCs w:val="16"/>
                      </w:rPr>
                      <w:t>Safe and Equal</w:t>
                    </w:r>
                    <w:r>
                      <w:rPr>
                        <w:sz w:val="16"/>
                        <w:szCs w:val="16"/>
                      </w:rPr>
                      <w:br/>
                    </w:r>
                    <w:r w:rsidRPr="00340C51">
                      <w:rPr>
                        <w:rFonts w:cs="DM Sans"/>
                        <w:sz w:val="16"/>
                        <w:szCs w:val="16"/>
                      </w:rPr>
                      <w:t>safeandequal.org.au</w:t>
                    </w:r>
                  </w:p>
                  <w:p w14:paraId="1A2C0F93" w14:textId="77777777" w:rsidR="00C733A8" w:rsidRDefault="00C733A8" w:rsidP="007B41DD"/>
                </w:txbxContent>
              </v:textbox>
              <w10:wrap anchorx="page" anchory="page"/>
            </v:rect>
          </w:pict>
        </mc:Fallback>
      </mc:AlternateContent>
    </w:r>
    <w:r w:rsidR="00C733A8" w:rsidRPr="00C733A8">
      <w:rPr>
        <w:rFonts w:ascii="Arial" w:hAnsi="Arial"/>
        <w:b/>
        <w:bCs/>
        <w:noProof/>
        <w:sz w:val="16"/>
        <w:szCs w:val="16"/>
      </w:rPr>
      <mc:AlternateContent>
        <mc:Choice Requires="wps">
          <w:drawing>
            <wp:anchor distT="0" distB="0" distL="114300" distR="114300" simplePos="0" relativeHeight="251660288" behindDoc="1" locked="0" layoutInCell="1" allowOverlap="1" wp14:anchorId="4DCB5661" wp14:editId="36F7AB0B">
              <wp:simplePos x="0" y="0"/>
              <wp:positionH relativeFrom="column">
                <wp:posOffset>-568779</wp:posOffset>
              </wp:positionH>
              <wp:positionV relativeFrom="page">
                <wp:posOffset>10036629</wp:posOffset>
              </wp:positionV>
              <wp:extent cx="569595" cy="1270"/>
              <wp:effectExtent l="19050" t="19050" r="20955" b="36830"/>
              <wp:wrapNone/>
              <wp:docPr id="227" name="Straight Connector 227"/>
              <wp:cNvGraphicFramePr/>
              <a:graphic xmlns:a="http://schemas.openxmlformats.org/drawingml/2006/main">
                <a:graphicData uri="http://schemas.microsoft.com/office/word/2010/wordprocessingShape">
                  <wps:wsp>
                    <wps:cNvCnPr/>
                    <wps:spPr>
                      <a:xfrm>
                        <a:off x="0" y="0"/>
                        <a:ext cx="569595" cy="1270"/>
                      </a:xfrm>
                      <a:prstGeom prst="line">
                        <a:avLst/>
                      </a:prstGeom>
                      <a:ln w="28575">
                        <a:solidFill>
                          <a:srgbClr val="FF79FF"/>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697F990" id="Straight Connector 22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page" from="-44.8pt,790.3pt" to=".05pt,7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" strokecolor="#ff79ff" strokeweight="2.25pt">
              <w10:wrap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6D5E0" w14:textId="77777777" w:rsidR="00B34A9B" w:rsidRPr="00EF1D3D" w:rsidRDefault="00B34A9B" w:rsidP="00E02509">
      <w:pPr>
        <w:spacing w:after="0" w:line="240" w:lineRule="auto"/>
        <w:rPr>
          <w:b/>
          <w:bCs/>
          <w:color w:val="7800FF"/>
        </w:rPr>
      </w:pPr>
      <w:r w:rsidRPr="00EF1D3D">
        <w:rPr>
          <w:b/>
          <w:bCs/>
          <w:color w:val="7800FF"/>
        </w:rPr>
        <w:separator/>
      </w:r>
    </w:p>
  </w:footnote>
  <w:footnote w:type="continuationSeparator" w:id="0">
    <w:p w14:paraId="51F77F91" w14:textId="77777777" w:rsidR="00B34A9B" w:rsidRDefault="00B34A9B" w:rsidP="00E02509">
      <w:pPr>
        <w:spacing w:after="0" w:line="240" w:lineRule="auto"/>
      </w:pPr>
      <w:r>
        <w:continuationSeparator/>
      </w:r>
    </w:p>
  </w:footnote>
  <w:footnote w:type="continuationNotice" w:id="1">
    <w:p w14:paraId="70CBF172" w14:textId="77777777" w:rsidR="00B34A9B" w:rsidRDefault="00B34A9B">
      <w:pPr>
        <w:spacing w:after="0" w:line="240" w:lineRule="auto"/>
      </w:pPr>
    </w:p>
  </w:footnote>
  <w:footnote w:id="2">
    <w:p w14:paraId="5B0EFA1A"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{"citationID":"a25auk2n9m1","properties":{"formattedCitation":"Our Watch and Women with Disabilities Victoria, {\\i{}Changing the Landscape: A National Resource to Prevent Violence against Women and Girls with Disabilities} (Our Watch, 2022).","plainCitation":"Our Watch and Women with Disabilities Victoria, Changing the Landscape: A National Resource to Prevent Violence against Women and Girls with Disabilities (Our Watch, 2022).","noteIndex":1},"citationItems":[{"id":396,"uris":["http://zotero.org/users/local/OX3UTt8z/items/W8Q85Y86"],"itemData":{"id":396,"type":"report","publisher":"Our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3">
    <w:p w14:paraId="689D95A1" w14:textId="77777777" w:rsidR="008C7EFA" w:rsidRPr="008C7EFA" w:rsidRDefault="008C7EFA" w:rsidP="008C7EFA">
      <w:pPr>
        <w:pStyle w:val="FootnoteText"/>
        <w:rPr>
          <w:rFonts w:ascii="DM Sans" w:hAnsi="DM Sans"/>
          <w:lang w:val="en-US"/>
        </w:rPr>
      </w:pPr>
      <w:r w:rsidRPr="008C7EFA">
        <w:rPr>
          <w:rStyle w:val="FootnoteReference"/>
          <w:rFonts w:ascii="DM Sans" w:hAnsi="DM Sans"/>
        </w:rPr>
        <w:footnoteRef/>
      </w:r>
      <w:r w:rsidRPr="008C7EFA">
        <w:rPr>
          <w:rFonts w:ascii="DM Sans" w:hAnsi="DM Sans"/>
        </w:rPr>
        <w:t xml:space="preserve"> </w:t>
      </w:r>
      <w:r w:rsidRPr="008C7EFA">
        <w:rPr>
          <w:rFonts w:ascii="DM Sans" w:hAnsi="DM Sans"/>
        </w:rPr>
        <w:fldChar w:fldCharType="begin"/>
      </w:r>
      <w:r w:rsidRPr="008C7EFA">
        <w:rPr>
          <w:rFonts w:ascii="DM Sans" w:hAnsi="DM Sans"/>
        </w:rPr>
        <w:instrText xml:space="preserve"> ADDIN ZOTERO_ITEM CSL_CITATION {"citationID":"a2e2o7b23h8","properties":{"formattedCitation":"\\uc0\\u8220{}Person-First and Identity-First Language,\\uc0\\u8221{} March 13, 2022, https://www.vic.gov.au/state-disability-plan/our-language/person-first-and-identity-first-language.","plainCitation":"“Person-First and Identity-First Language,” March 13, 2022, https://www.vic.gov.au/state-disability-plan/our-language/person-first-and-identity-first-language.","noteIndex":2},"citationItems":[{"id":591,"uris":["http://zotero.org/users/local/OX3UTt8z/items/VQDTI79C"],"itemData":{"id":591,"type":"webpage","abstract":"We have chosen at this point in time to continue using person-first language in the state disability plan.","language":"en-au","title":"Person-first and identity-first language","URL":"https://www.vic.gov.au/state-disability-plan/our-language/person-first-and-identity-first-language","accessed":{"date-parts":[["2026",3,23]]},"issued":{"date-parts":[["2022",3,13]]}}}],"schema":"https://github.com/citation-style-language/schema/raw/master/csl-citation.json"} </w:instrText>
      </w:r>
      <w:r w:rsidRPr="008C7EFA">
        <w:rPr>
          <w:rFonts w:ascii="DM Sans" w:hAnsi="DM Sans"/>
        </w:rPr>
        <w:fldChar w:fldCharType="separate"/>
      </w:r>
      <w:r w:rsidRPr="008C7EFA">
        <w:rPr>
          <w:rFonts w:ascii="DM Sans" w:hAnsi="DM Sans"/>
        </w:rPr>
        <w:t xml:space="preserve"> </w:t>
      </w:r>
      <w:r w:rsidRPr="008C7EFA">
        <w:rPr>
          <w:rFonts w:ascii="DM Sans" w:hAnsi="DM Sans"/>
          <w:sz w:val="18"/>
          <w:szCs w:val="18"/>
        </w:rPr>
        <w:t>State of Victoria, Australia, Department of Families, Fairness and Housing 2022</w:t>
      </w:r>
      <w:r w:rsidRPr="008C7EFA">
        <w:rPr>
          <w:rFonts w:ascii="DM Sans" w:hAnsi="DM Sans"/>
        </w:rPr>
        <w:fldChar w:fldCharType="end"/>
      </w:r>
    </w:p>
  </w:footnote>
  <w:footnote w:id="4">
    <w:p w14:paraId="008227B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{"citationID":"addlkfmhpq","properties":{"formattedCitation":"Our Watch and Women with Disabilities Victoria, {\\i{}Changing the Landscape: A National Resource to Prevent Violence against Women and Girls with Disabilities}; Leanne Dowse et al., \\uc0\\u8220{}Mind the Gap: The Extent of Violence against Women with Disabilities in Australia,\\uc0\\u8221{} {\\i{}Australian Journal of Social Issues} 51, no. 3 (2016): 341\\uc0\\u8211{}59, https://doi.org/10.1002/j.1839-4655.2016.tb01235.x.","plainCitation":"Our Watch and Women with Disabilities Victoria, Changing the Landscape: A National Resource to Prevent Violence against Women and Girls with Disabilities; Leanne Dowse et al., “Mind the Gap: The Extent of Violence against Women with Disabilities in Australia,” Australian Journal of Social Issues 51, no. 3 (2016): 341–59, https://doi.org/10.1002/j.1839-4655.2016.tb01235.x.","noteIndex":3},"citationItems":[{"id":396,"uris":["http://zotero.org/users/local/OX3UTt8z/items/W8Q85Y86"],"itemData":{"id":396,"type":"report","publisher":"Our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Victoria"}],"issued":{"date-parts":[["2022"]]}}},{"id":581,"uris":["http://zotero.org/users/local/OX3UTt8z/items/3S4VXSM7"],"itemData":{"id":581,"type":"article-journal","abstract":"Abstract\n            A comprehensive national response to violence against women with disabilities is long overdue in Australia. Work to date suggests that the issue is endemic yet largely invisible. Responses at the national level are hampered by the lack of information regarding violence against women with disabilities due to under</w:instrText>
      </w:r>
      <w:r w:rsidRPr="008C7EFA">
        <w:rPr>
          <w:rFonts w:ascii="Cambria Math" w:hAnsi="Cambria Math" w:cs="Cambria Math"/>
          <w:sz w:val="18"/>
          <w:szCs w:val="18"/>
        </w:rPr>
        <w:instrText>‐</w:instrText>
      </w:r>
      <w:r w:rsidRPr="008C7EFA">
        <w:rPr>
          <w:rFonts w:ascii="DM Sans" w:hAnsi="DM Sans"/>
          <w:sz w:val="18"/>
          <w:szCs w:val="18"/>
        </w:rPr>
        <w:instrText xml:space="preserve">reporting and inadequate capture of the prevalence of this violence. This article explores approaches to collecting data regarding violence against women with disabilities in Australia and adds to the limited body of knowledge about the prevalence of violence for these women through interrogation of available data. Further analysis of the 2012 Personal Safety Survey data indicates that among women with disabilities aged under 50, 62 per cent have experienced violence since the age of 15, and women with disabilities had experienced three times the rate of sexual violence in the past 12 months compared to those without disabilities. These findings still do not represent the full extent of violence against women with disabilities, since the Personal Safety Survey samples only women who reside in private dwellings and excludes those living in disability care settings. Insight is offered as to what is needed to comprehensively capture the required data and the implications for policy.","container-title":"Australian Journal of Social Issues","DOI":"10.1002/j.1839-4655.2016.tb01235.x","ISSN":"0157-6321, 1839-4655","issue":"3","journalAbbreviation":"Aust J Social Issues","language":"en","license":"http://onlinelibrary.wiley.com/termsAndConditions#vor","page":"341-359","source":"DOI.org (Crossref)","title":"Mind the gap: the extent of violence against women with disabilities in Australia","title-short":"Mind the gap","volume":"51","author":[{"family":"Dowse","given":"Leanne"},{"family":"Soldatic","given":"Karen"},{"family":"Spangaro","given":"Jo"},{"family":"Van Toorn","given":"Georgia"}],"issued":{"date-parts":[["2016",10]]}}}],"schema":"https://github.com/citation-style-language/schema/raw/master/csl-citation.json"}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Dowse et al. 2016</w:t>
      </w:r>
      <w:r w:rsidRPr="008C7EFA">
        <w:rPr>
          <w:rFonts w:ascii="DM Sans" w:hAnsi="DM Sans"/>
          <w:sz w:val="18"/>
          <w:szCs w:val="18"/>
        </w:rPr>
        <w:fldChar w:fldCharType="end"/>
      </w:r>
    </w:p>
  </w:footnote>
  <w:footnote w:id="5">
    <w:p w14:paraId="1C3981DA"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{"citationID":"a2jm8r30v9","properties":{"formattedCitation":"L. Krnjacki et al., \\uc0\\u8220{}Prevalence and Risk of Violence against People with and without Disabilities: Findings from an Australian Population-Based Study,\\uc0\\u8221{} {\\i{}Australian and New Zealand Journal of Public Health} 40, no. 1 (2016): 16\\uc0\\u8211{}21, https://doi.org/10.1111/1753-6405.12498.","plainCitation":"L. Krnjacki et al., “Prevalence and Risk of Violence against People with and without Disabilities: Findings from an Australian Population-Based Study,” Australian and New Zealand Journal of Public Health 40, no. 1 (2016): 16–21, https://doi.org/10.1111/1753-6405.12498.","noteIndex":4},"citationItems":[{"id":392,"uris":["http://zotero.org/users/local/OX3UTt8z/items/HQG7669S"],"itemData":{"id":392,"type":"article-journal","container-title":"Australian and New Zealand Journal of Public Health","DOI":"10.1111/1753-6405.12498","issue":"1","journalAbbreviation":"Australian and New Zealand Journal of Public Health","page":"16-21","title":"Prevalence and risk of violence against people with and without disabilities: findings from an Australian population-based study","volume":"40","author":[{"family":"Krnjacki","given":"L."},{"family":"Emerson","given":"E."},{"family":"Llewellyn","given":"G."},{"family":"Kavanagh","given":"A. M."}],"issued":{"date-parts":[["2016"]]}}}],"schema":"https://github.com/citation-style-language/schema/raw/master/csl-citation.json"}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Krnjacki</w:t>
      </w:r>
      <w:proofErr w:type="spellEnd"/>
      <w:r w:rsidRPr="008C7EFA">
        <w:rPr>
          <w:rFonts w:ascii="DM Sans" w:hAnsi="DM Sans"/>
          <w:sz w:val="18"/>
          <w:szCs w:val="18"/>
        </w:rPr>
        <w:t xml:space="preserve"> et al. 2016</w:t>
      </w:r>
      <w:r w:rsidRPr="008C7EFA">
        <w:rPr>
          <w:rFonts w:ascii="DM Sans" w:hAnsi="DM Sans"/>
          <w:sz w:val="18"/>
          <w:szCs w:val="18"/>
        </w:rPr>
        <w:fldChar w:fldCharType="end"/>
      </w:r>
    </w:p>
  </w:footnote>
  <w:footnote w:id="6">
    <w:p w14:paraId="653745C9"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{"citationID":"a2592oj1luk","properties":{"formattedCitation":"Our Watch and Women with Disabilities Victoria, {\\i{}Changing the Landscape: A National Resource to Prevent Violence against Women and Girls with Disabilities}; Dowse et al., \\uc0\\u8220{}Mind the Gap\\uc0\\u8221{}; M\\uc0\\u243{}nica Miriam Garc\\uc0\\u237{}a-Cu\\uc0\\u233{}llar et al., \\uc0\\u8220{}The Prevalence of Intimate Partner Violence against Women with Disabilities: A Systematic Review of the Literature,\\uc0\\u8221{} {\\i{}Disability and Rehabilitation} 45, no. 1 (2023): 1\\uc0\\u8211{}8, https://doi.org/10.1080/09638288.2022.2025927.","plainCitation":"Our Watch and Women with Disabilities Victoria, Changing the Landscape: A National Resource to Prevent Violence against Women and Girls with Disabilities; Dowse et al., “Mind the Gap”; Mónica Miriam García-Cuéllar et al., “The Prevalence of Intimate Partner Violence against Women with Disabilities: A Systematic Review of the Literature,” Disability and Rehabilitation 45, no. 1 (2023): 1–8, https://doi.org/10.1080/09638288.2022.2025927.","noteIndex":5},"citationItems":[{"id":396,"uris":["http://zotero.org/users/local/OX3UTt8z/items/W8Q85Y86"],"itemData":{"id":396,"type":"report","publisher":"Our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Victoria"}],"issued":{"date-parts":[["2022"]]}}},{"id":581,"uris":["http://zotero.org/users/local/OX3UTt8z/items/3S4VXSM7"],"itemData":{"id":581,"type":"article-journal","abstract":"Abstract\n            A comprehensive national response to violence against women with disabilities is long overdue in Australia. Work to date suggests that the issue is endemic yet largely invisible. Responses at the national level are hampered by the lack of information regarding violence against women with disabilities due to under</w:instrText>
      </w:r>
      <w:r w:rsidRPr="008C7EFA">
        <w:rPr>
          <w:rFonts w:ascii="Cambria Math" w:hAnsi="Cambria Math" w:cs="Cambria Math"/>
          <w:sz w:val="18"/>
          <w:szCs w:val="18"/>
        </w:rPr>
        <w:instrText>‐</w:instrText>
      </w:r>
      <w:r w:rsidRPr="008C7EFA">
        <w:rPr>
          <w:rFonts w:ascii="DM Sans" w:hAnsi="DM Sans"/>
          <w:sz w:val="18"/>
          <w:szCs w:val="18"/>
        </w:rPr>
        <w:instrText xml:space="preserve">reporting and inadequate capture of the prevalence of this violence. This article explores approaches to collecting data regarding violence against women with disabilities in Australia and adds to the limited body of knowledge about the prevalence of violence for these women through interrogation of available data. Further analysis of the 2012 Personal Safety Survey data indicates that among women with disabilities aged under 50, 62 per cent have experienced violence since the age of 15, and women with disabilities had experienced three times the rate of sexual violence in the past 12 months compared to those without disabilities. These findings still do not represent the full extent of violence against women with disabilities, since the Personal Safety Survey samples only women who reside in private dwellings and excludes those living in disability care settings. Insight is offered as to what is needed to comprehensively capture the required data and the implications for policy.","container-title":"Australian Journal of Social Issues","DOI":"10.1002/j.1839-4655.2016.tb01235.x","ISSN":"0157-6321, 1839-4655","issue":"3","journalAbbreviation":"Aust J Social Issues","language":"en","license":"http://onlinelibrary.wiley.com/termsAndConditions#vor","page":"341-359","source":"DOI.org (Crossref)","title":"Mind the gap: the extent of violence against women with disabilities in Australia","title-short":"Mind the gap","volume":"51","author":[{"family":"Dowse","given":"Leanne"},{"family":"Soldatic","given":"Karen"},{"family":"Spangaro","given":"Jo"},{"family":"Van Toorn","given":"Georgia"}],"issued":{"date-parts":[["2016",10]]}}},{"id":580,"uris":["http://zotero.org/users/local/OX3UTt8z/items/4VTANI2X"],"itemData":{"id":580,"type":"article-journal","container-title":"Disability and Rehabilitation","DOI":"10.1080/09638288.2022.2025927","ISSN":"0963-8288, 1464-5165","issue":"1","journalAbbreviation":"Disability and Rehabilitation","language":"en","page":"1-8","source":"DOI.org (Crossref)","title":"The prevalence of intimate partner violence against women with disabilities: a systematic review of the literature","title-short":"The prevalence of intimate partner violence against women with disabilities","volume":"45","author":[{"family":"García-Cuéllar","given":"Mónica Miriam"},{"family":"Pastor-Moreno","given":"Guadalupe"},{"family":"Ruiz-Pérez","given":"Isabel"},{"family":"Henares-Montiel","given":"Jesús"}],"issued":{"date-parts":[["2023",1,2]]}}}],"schema":"https://github.com/citation-style-language/schema/raw/master/csl-citation.json"}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Dowse et al. 2016; García-Cuéllar et al. 2023</w:t>
      </w:r>
      <w:r w:rsidRPr="008C7EFA">
        <w:rPr>
          <w:rFonts w:ascii="DM Sans" w:hAnsi="DM Sans"/>
          <w:sz w:val="18"/>
          <w:szCs w:val="18"/>
        </w:rPr>
        <w:fldChar w:fldCharType="end"/>
      </w:r>
    </w:p>
  </w:footnote>
  <w:footnote w:id="7">
    <w:p w14:paraId="147D2134"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{"citationID":"a2c9qf6lmvr","properties":{"formattedCitation":"Our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 Volume 3: Nature and Extent of Violence, Abuse, Neglect and Exploitation} (Royal Commission into Violence, Abuse, Neglect &amp; Exploitation of People with Disability, 2023), https://disability.royalcommission.gov.au/system/files/2023-09.","plainCitation":"Our Watch and Women with Disabilities Victoria, Changing the Landscape: A National Resource to Prevent Violence against Women and Girls with Disabilities; Royal Commission into Violence, Abuse, Neglect and Exploitation of People with Disability, Final Report: Volume 3: Nature and Extent of Violence, Abuse, Neglect and Exploitation (Royal Commission into Violence, Abuse, Neglect &amp; Exploitation of People with Disability, 2023), https://disability.royalcommission.gov.au/system/files/2023-09.","noteIndex":6},"citationItems":[{"id":396,"uris":["http://zotero.org/users/local/OX3UTt8z/items/W8Q85Y86"],"itemData":{"id":396,"type":"report","publisher":"Our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 Volume 3</w:t>
      </w:r>
      <w:r w:rsidRPr="008C7EFA">
        <w:rPr>
          <w:rFonts w:ascii="DM Sans" w:hAnsi="DM Sans"/>
          <w:sz w:val="18"/>
          <w:szCs w:val="18"/>
        </w:rPr>
        <w:fldChar w:fldCharType="end"/>
      </w:r>
    </w:p>
  </w:footnote>
  <w:footnote w:id="8">
    <w:p w14:paraId="1F6F7659"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{"citationID":"a2ml55i0rba","properties":{"formattedCitation":"Royal Commission into Violence, {\\i{}Final Report: Abuse, Neglect and Exploitation of People with Disability} (Commonwealth of Australia, 2023).","plainCitation":"Royal Commission into Violence, Final Report: Abuse, Neglect and Exploitation of People with Disability (Commonwealth of Australia, 2023).","noteIndex":7},"citationItems":[{"id":394,"uris":["http://zotero.org/users/local/OX3UTt8z/items/AFV5IY26"],"itemData":{"id":394,"type":"report","publisher":"Commonwealth of Australia","title":"Final Report: Abuse, Neglect and Exploitation of People with Disability","author":[{"family":"Royal Commission into Violence","given":""}],"issued":{"date-parts":[["2023"]]}}}],"schema":"https://github.com/citation-style-language/schema/raw/master/csl-citation.json"}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w:t>
      </w:r>
      <w:r w:rsidRPr="008C7EFA">
        <w:rPr>
          <w:rFonts w:ascii="DM Sans" w:hAnsi="DM Sans"/>
          <w:sz w:val="18"/>
          <w:szCs w:val="18"/>
        </w:rPr>
        <w:fldChar w:fldCharType="end"/>
      </w:r>
    </w:p>
  </w:footnote>
  <w:footnote w:id="9">
    <w:p w14:paraId="121BFF7D"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{"citationID":"au2a3mdtpf","properties":{"formattedCitation":"Our Watch and Women with Disabilities Victoria, {\\i{}Changing the Landscape: A National Resource to Prevent Violence against Women and Girls with Disabilities}; JaneMaree Maher et al., {\\i{}Women, Disability and Violence: Barriers to Accessing Justice\\uc0\\u8239{}: Final Report} (ANROWS, 2018); Royal Commission into Violence, Abuse, Neglect and Exploitation of People with Disability, {\\i{}Final Report}.","plainCitation":"Our Watch and Women with Disabilities Victoria, Changing the Landscape: A National Resource to Prevent Violence against Women and Girls with Disabilities; JaneMaree Maher et al., Women, Disability and Violence: Barriers to Accessing Justice: Final Report (ANROWS, 2018); Royal Commission into Violence, Abuse, Neglect and Exploitation of People with Disability, Final Report.","noteIndex":8},"citationItems":[{"id":396,"uris":["http://zotero.org/users/local/OX3UTt8z/items/W8Q85Y86"],"itemData":{"id":396,"type":"report","publisher":"Our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Victoria"}],"issued":{"date-parts":[["2022"]]}}},{"id":453,"uris":["http://zotero.org/users/local/OX3UTt8z/items/CK9JLNCD"],"itemData":{"id":453,"type":"book","abstract":"This report explores how women with disability seek justice, redress, and support after experiencing violence - particularly sexual assault and intimate partner violence - and the pathways and barriers they encounter. It also examines how these women position and interpret experiences of violence in relation to their disability, the mechanisms and factors that lead to incidences of violence being reported, and their experiences of the service and justice systems. It draws on a small study with 36 women and 18 service providers in New South Wales and Victoria. The key findings for policy and practice are also discussed","event-place":"Sydney","ISBN":"978-1-925372-75-5","language":"eng","note":"OCLC: 1032597196","publisher":"ANROWS","publisher-place":"Sydney","source":"Open WorldCat","title":"Women, disability and violence: barriers to accessing justice : final report","title-short":"Women, disability and violence","author":[{"family":"Maher","given":"JaneMaree"},{"family":"Spivakovsky","given":"Claire"},{"family":"McCulloch","given":"Jude"},{"family":"McGowan","given":"Jasmine"},{"family":"Beavis","given":"Kara"},{"family":"Lea","given":"Meredith"},{"family":"Cadwallader","given":"Jess"},{"family":"Sands","given":"Therese"}],"issued":{"date-parts":[["2018"]]}}},{"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Maher et al. 2018; Royal Commission 2023</w:t>
      </w:r>
      <w:r w:rsidRPr="008C7EFA">
        <w:rPr>
          <w:rFonts w:ascii="DM Sans" w:hAnsi="DM Sans"/>
          <w:sz w:val="18"/>
          <w:szCs w:val="18"/>
        </w:rPr>
        <w:fldChar w:fldCharType="end"/>
      </w:r>
    </w:p>
  </w:footnote>
  <w:footnote w:id="10">
    <w:p w14:paraId="57251901"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{"citationID":"a1cvi3tdl8a","properties":{"formattedCitation":"Royal Commission into Violence, Abuse, Neglect and Exploitation of People with Disability, {\\i{}Final Report}.","plainCitation":"Royal Commission into Violence, Abuse, Neglect and Exploitation of People with Disability, Final Report.","noteIndex":9},"citationItems":[{"id":437,"uris":["http://zotero.org/users/local/OX3UTt8z/items/3JTNURHL"],"itemData":{"id":437,"type":"report","abstract":"Violence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w:t>
      </w:r>
      <w:r w:rsidRPr="008C7EFA">
        <w:rPr>
          <w:rFonts w:ascii="DM Sans" w:hAnsi="DM Sans"/>
          <w:sz w:val="18"/>
          <w:szCs w:val="18"/>
        </w:rPr>
        <w:fldChar w:fldCharType="end"/>
      </w:r>
    </w:p>
  </w:footnote>
  <w:footnote w:id="11">
    <w:p w14:paraId="453D16DA"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{"citationID":"a257ue6tki0","properties":{"formattedCitation":"Our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Disabilities.","noteIndex":10},"citationItems":[{"id":396,"uris":["http://zotero.org/users/local/OX3UTt8z/items/W8Q85Y86"],"itemData":{"id":396,"type":"report","publisher":"Our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12">
    <w:p w14:paraId="53A27AB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{"citationID":"a1fl888pbil","properties":{"formattedCitation":"Our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Report}.","plainCitation":"Our Watch and Women with Disabilities Victoria, Changing the Landscape: A National Resource to Prevent Violence against Women and Girls with Disabilities; Royal Commission into Violence, Abuse, Neglect and Exploitation of People with Disability, Final Report.","noteIndex":11},"citationItems":[{"id":396,"uris":["http://zotero.org/users/local/OX3UTt8z/items/W8Q85Y86"],"itemData":{"id":396,"type":"report","publisher":"Our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sz w:val="18"/>
          <w:szCs w:val="18"/>
        </w:rPr>
        <w:fldChar w:fldCharType="end"/>
      </w:r>
    </w:p>
  </w:footnote>
  <w:footnote w:id="13">
    <w:p w14:paraId="1B4AB04D"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{"citationID":"a8gbbo1t8n","properties":{"formattedCitation":"Sue Dyson et al., {\\i{}\\uc0\\u8220{}Whatever It Takes\\uc0\\u8221{}: Access for Women with Disabilities to Domestic and Family Violence Services\\uc0\\u8239{}: Final Report} (ANROWS, 2017); Maher et al., {\\i{}Women, Disability and Violence}.","plainCitation":"Sue Dyson et al., “Whatever It Takes”: Access for Women with Disabilities to Domestic and Family Violence Services: Final Report (ANROWS, 2017); Maher et al., Women, Disability and Violence.","noteIndex":12},"citationItems":[{"id":447,"uris":["http://zotero.org/users/local/OX3UTt8z/items/HQM5YBFI"],"itemData":{"id":447,"type":"book","abstract":"This research project aims to inform the development of guidelines for tertiary response services to respond effectively to the needs of women with disabilities. Surveys and case studies were undertaken with support services in Australia to investigate current models and approaches and good practice. This was supplemented with interviews with women with disabilities who were either clients of the services or who had never used such services, regarding service use and help seeking. This report presents the findings of the project and recommendations regarding promoting access and accessibility, building cross-sector collaboration, involving women with disabilities, and data collection","event-place":"N.S.W.","ISBN":"978-1-925372-57-1","language":"en","note":"OCLC: 1001316528","publisher":"ANROWS","publisher-place":"N.S.W.","source":"Open WorldCat","title":"'Whatever it takes': access for women with disabilities to domestic and family violence services : final report","title-short":"'Whatever it takes'","author":[{"family":"Dyson","given":"Sue"},{"family":"Frawley","given":"Patsie"},{"family":"Robinson","given":"Sally"}],"issued":{"date-parts":[["2017"]]}}},{"id":453,"uris":["http://zotero.org/users/local/OX3UTt8z/items/CK9JLNCD"],"itemData":{"id":453,"type":"book","abstract":"This report explores how women with disability seek justice, redress, and support after experiencing violence - particularly sexual assault and intimate partner violence - and the pathways and barriers they encounter. It also examines how these women position and interpret experiences of violence in relation to their disability, the mechanisms and factors that lead to incidences of violence being reported, and their experiences of the service and justice systems. It draws on a small study with 36 women and 18 service providers in New South Wales and Victoria. The key findings for policy and practice are also discussed","event-place":"Sydney","ISBN":"978-1-925372-75-5","language":"eng","note":"OCLC: 1032597196","publisher":"ANROWS","publisher-place":"Sydney","source":"Open WorldCat","title":"Women, disability and violence: barriers to accessing justice : final report","title-short":"Women, disability and violence","author":[{"family":"Maher","given":"JaneMaree"},{"family":"Spivakovsky","given":"Claire"},{"family":"McCulloch","given":"Jude"},{"family":"McGowan","given":"Jasmine"},{"family":"Beavis","given":"Kara"},{"family":"Lea","given":"Meredith"},{"family":"Cadwallader","given":"Jess"},{"family":"Sands","given":"Therese"}],"issued":{"date-parts":[["2018"]]}}}],"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Dyson et al. 2017; Maher et al. 2018</w:t>
      </w:r>
      <w:r w:rsidRPr="008C7EFA">
        <w:rPr>
          <w:rFonts w:ascii="DM Sans" w:hAnsi="DM Sans"/>
          <w:sz w:val="18"/>
          <w:szCs w:val="18"/>
        </w:rPr>
        <w:fldChar w:fldCharType="end"/>
      </w:r>
    </w:p>
  </w:footnote>
  <w:footnote w:id="14">
    <w:p w14:paraId="1B5A2A14"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{"citationID":"aitrts5j8q","properties":{"formattedCitation":"Our Watch and Women with Disabilities Victoria, {\\i{}Changing the Landscape: A National Resource to Prevent Violence against Women and Girls with Disabilities}; Royal Commission into Violence, {\\i{}Final Report: Abuse, Neglect and Exploitation of People with Disability}.","plainCitation":"Our Watch and Women with Disabilities Victoria, Changing the Landscape: A National Resource to Prevent Violence against Women and Girls with Disabilities; Royal Commission into Violence, Final Report: Abuse, Neglect and Exploitation of People with Disability.","noteIndex":13},"citationItems":[{"id":396,"uris":["http://zotero.org/users/local/OX3UTt8z/items/W8Q85Y86"],"itemData":{"id":396,"type":"report","publisher":"Our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Victoria"}],"issued":{"date-parts":[["2022"]]}}},{"id":394,"uris":["http://zotero.org/users/local/OX3UTt8z/items/AFV5IY26"],"itemData":{"id":394,"type":"report","publisher":"Commonwealth of Australia","title":"Final Report: Abuse, Neglect and Exploitation of People with Disability","author":[{"family":"Royal Commission into Violence","given":""}],"issued":{"date-parts":[["2023"]]}}}],"schema":"https://github.com/citation-style-language/schema/raw/master/csl-citation.json"}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sz w:val="18"/>
          <w:szCs w:val="18"/>
        </w:rPr>
        <w:fldChar w:fldCharType="end"/>
      </w:r>
    </w:p>
  </w:footnote>
  <w:footnote w:id="15">
    <w:p w14:paraId="6D0D0C44"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{"citationID":"a28228gpbsi","properties":{"formattedCitation":"Our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Disabilities.","noteIndex":14},"citationItems":[{"id":396,"uris":["http://zotero.org/users/local/OX3UTt8z/items/W8Q85Y86"],"itemData":{"id":396,"type":"report","publisher":"Our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16">
    <w:p w14:paraId="289C861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{"citationID":"a24kilf37mr","properties":{"formattedCitation":"Our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Report}.","plainCitation":"Our Watch and Women with Disabilities Victoria, Changing the Landscape: A National Resource to Prevent Violence against Women and Girls with Disabilities; Royal Commission into Violence, Abuse, Neglect and Exploitation of People with Disability, Final Report.","noteIndex":15},"citationItems":[{"id":396,"uris":["http://zotero.org/users/local/OX3UTt8z/items/W8Q85Y86"],"itemData":{"id":396,"type":"report","publisher":"Our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sz w:val="18"/>
          <w:szCs w:val="18"/>
        </w:rPr>
        <w:fldChar w:fldCharType="end"/>
      </w:r>
    </w:p>
  </w:footnote>
  <w:footnote w:id="17">
    <w:p w14:paraId="17D0DDB9"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{"citationID":"aquopmuoj4","properties":{"formattedCitation":"Our Watch and Women with Disabilities Victoria, {\\i{}Changing the Landscape: A National Resource to Prevent Violence against Women and Girls with Disabilities}; Australian Law Reform Commission, {\\i{}Equality, Capacity and Disability in Commonwealth Laws}, ALRC Report 124 (Australian Law Reform Commission, 2014).","plainCitation":"Our Watch and Women with Disabilities Victoria, Changing the Landscape: A National Resource to Prevent Violence against Women and Girls with Disabilities; Australian Law Reform Commission, Equality, Capacity and Disability in Commonwealth Laws, ALRC Report 124 (Australian Law Reform Commission, 2014).","noteIndex":16},"citationItems":[{"id":396,"uris":["http://zotero.org/users/local/OX3UTt8z/items/W8Q85Y86"],"itemData":{"id":396,"type":"report","publisher":"Our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Victoria"}],"issued":{"date-parts":[["2022"]]}}},{"id":432,"uris":["http://zotero.org/users/local/OX3UTt8z/items/VFENX7UA"],"itemData":{"id":432,"type":"report","abstract":"\"This Inquiry examined laws and legal frameworks within the Commonwealth jurisdiction that deny or diminish the equal recognition of people with disability as persons before the law and their ability to exercise legal capacity.\"--Website summary","event-place":"Sydney","language":"en","note":"OCLC: 904322475","number":"ALRC Report 124","publisher":"Australian Law Reform Commission","publisher-place":"Sydney","source":"Open WorldCat","title":"Equality, Capacity and Disability in Commonwealth Laws","title-short":"Equality, Capacity and Disability in Commonwealth Laws","author":[{"literal":"Australian Law Reform Commission"}],"issued":{"date-parts":[["2014"]]}}}],"schema":"https://github.com/citation-style-language/schema/raw/master/csl-citation.json"}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Australian Law Reform Commission 2014</w:t>
      </w:r>
      <w:r w:rsidRPr="008C7EFA">
        <w:rPr>
          <w:rFonts w:ascii="DM Sans" w:hAnsi="DM Sans"/>
          <w:sz w:val="18"/>
          <w:szCs w:val="18"/>
        </w:rPr>
        <w:fldChar w:fldCharType="end"/>
      </w:r>
    </w:p>
  </w:footnote>
  <w:footnote w:id="18">
    <w:p w14:paraId="42D6D2FB"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{"citationID":"adhobsdks","properties":{"formattedCitation":"Christine Bigby et al., {\\i{}Diversity, Dignity, Equity and Best Practice: A Framework for Supported Decision-Making} (La Trobe, 2023), 3207740 Bytes, 3207740 Bytes, https://doi.org/10.26181/21965183.V2.","plainCitation":"Christine Bigby et al., Diversity, Dignity, Equity and Best Practice: A Framework for Supported Decision-Making (La Trobe, 2023), 3207740 Bytes, 3207740 Bytes, https://doi.org/10.26181/21965183.V2.","noteIndex":17},"citationItems":[{"id":428,"uris":["http://zotero.org/users/local/OX3UTt8z/items/LC7AWVHP"],"itemData":{"id":428,"type":"report","abstract":"This research aimed to understand the significance of supported decision-making to the lives of people with cognitive disabilities, identify its essential elements common to anyone with cognitive disabilities in any context, and locate key implementation issues. For this Report, we understand people with cognitive disabilities to include people with intellectual disabilities, acquired brain injury, dementia and mental health conditions. Synthesising the research findings, this Report articulates the benefits of supported decision-making, sets out nine principles and eight essential elements of a ‘Diversity, Dignity, Equity and Best Practice Framework for Supported Decision-making’ and recommends implementation strategies. &lt;br&gt; For enquiries, please contact: Professor Christine Bigby, c.bigby@latrobe.edu.au Living with Disability Research Centre, La Trobe University, Vic, 3086, Australia. &lt;br&gt; &lt;br&gt;","license":"Creative Commons Attribution 4.0 International","note":"dimensions: 3207740 Bytes\nDOI: 10.26181/21965183.V2","page":"3207740 Bytes","publisher":"La Trobe","source":"DOI.org (Datacite)","title":"Diversity, dignity, equity and best practice: a framework for supported decision-making","title-short":"Diversity, dignity, equity and best practice","URL":"https://opal.latrobe.edu.au/articles/report/Diversity_dignity_equity_and_best_practice_a_framework_for_supported_decision-making/21965183/2","author":[{"family":"Bigby","given":"Christine"},{"family":"Carney","given":"Terry"},{"family":"Then","given":"Shih-Ning"},{"family":"Wiesel","given":"Ilan"},{"family":"Sinclair","given":"Craig"},{"family":"Douglas","given":"Jacinta"},{"family":"Duffy","given":"Julia"}],"accessed":{"date-parts":[["2025",10,28]]},"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Bigby et al. 2023</w:t>
      </w:r>
      <w:r w:rsidRPr="008C7EFA">
        <w:rPr>
          <w:rFonts w:ascii="DM Sans" w:hAnsi="DM Sans"/>
          <w:sz w:val="18"/>
          <w:szCs w:val="18"/>
        </w:rPr>
        <w:fldChar w:fldCharType="end"/>
      </w:r>
    </w:p>
  </w:footnote>
  <w:footnote w:id="19">
    <w:p w14:paraId="4668B9AE"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{"citationID":"a15865vcbba","properties":{"formattedCitation":"Dyson et al., {\\i{}\\uc0\\u8220{}Whatever It Takes.\\uc0\\u8221{}}","plainCitation":"Dyson et al., “Whatever It Takes.”","noteIndex":19},"citationItems":[{"id":447,"uris":["http://zotero.org/users/local/OX3UTt8z/items/HQM5YBFI"],"itemData":{"id":447,"type":"book","abstract":"This research project aims to inform the development of guidelines for tertiary response services to respond effectively to the needs of women with disabilities. Surveys and case studies were undertaken with support services in Australia to investigate current models and approaches and good practice. This was supplemented with interviews with women with disabilities who were either clients of the services or who had never used such services, regarding service use and help seeking. This report presents the findings of the project and recommendations regarding promoting access and accessibility, building cross-sector collaboration, involving women with disabilities, and data collection","event-place":"N.S.W.","ISBN":"978-1-925372-57-1","language":"en","note":"OCLC: 1001316528","publisher":"ANROWS","publisher-place":"N.S.W.","source":"Open WorldCat","title":"'Whatever it takes': access for women with disabilities to domestic and family violence services : final report","title-short":"'Whatever it takes'","author":[{"family":"Dyson","given":"Sue"},{"family":"Frawley","given":"Patsie"},{"family":"Robinson","given":"Sally"}],"issued":{"date-parts":[["2017"]]}}}],"schema":"https://github.com/citation-style-language/schema/raw/master/csl-citation.json"}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Dyson et al. 2017</w:t>
      </w:r>
      <w:r w:rsidRPr="008C7EFA">
        <w:rPr>
          <w:rFonts w:ascii="DM Sans" w:hAnsi="DM Sans"/>
          <w:sz w:val="18"/>
          <w:szCs w:val="18"/>
        </w:rPr>
        <w:fldChar w:fldCharType="end"/>
      </w:r>
    </w:p>
  </w:footnote>
  <w:footnote w:id="20">
    <w:p w14:paraId="3AA8218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{"citationID":"a6hsbi4ssa","properties":{"formattedCitation":"Royal Commission into Violence, Abuse, Neglect and Exploitation of People with Disability, {\\i{}Final Report}.","plainCitation":"Royal Commission into Violence, Abuse, Neglect and Exploitation of People with Disability, Final Report.","noteIndex":20},"citationItems":[{"id":437,"uris":["http://zotero.org/users/local/OX3UTt8z/items/3JTNURHL"],"itemData":{"id":437,"type":"report","abstract":"Violence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w:t>
      </w:r>
      <w:r w:rsidRPr="008C7EFA">
        <w:rPr>
          <w:rFonts w:ascii="DM Sans" w:hAnsi="DM Sans"/>
          <w:sz w:val="18"/>
          <w:szCs w:val="18"/>
        </w:rPr>
        <w:fldChar w:fldCharType="end"/>
      </w:r>
    </w:p>
  </w:footnote>
  <w:footnote w:id="21">
    <w:p w14:paraId="5F1AFF4C"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{"citationID":"a3d26fbmpl","properties":{"formattedCitation":"Royal Commission into Violence, Abuse, Neglect and Exploitation of People with Disability, {\\i{}Final Report}; Bigby et al., {\\i{}Diversity, Dignity, Equity and Best Practice}.","plainCitation":"Royal Commission into Violence, Abuse, Neglect and Exploitation of People with Disability, Final Report; Bigby et al., Diversity, Dignity, Equity and Best Practice.","noteIndex":21},"citationItems":[{"id":437,"uris":["http://zotero.org/users/local/OX3UTt8z/items/3JTNURHL"],"itemData":{"id":437,"type":"report","abstract":"Violence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Disability"}],"issued":{"date-parts":[["2023"]]}}},{"id":428,"uris":["http://zotero.org/users/local/OX3UTt8z/items/LC7AWVHP"],"itemData":{"id":428,"type":"report","abstract":"This research aimed to understand the significance of supported decision-making to the lives of people with cognitive disabilities, identify its essential elements common to anyone with cognitive disabilities in any context, and locate key implementation issues. For this Report, we understand people with cognitive disabilities to include people with intellectual disabilities, acquired brain injury, dementia and mental health conditions. Synthesising the research findings, this Report articulates the benefits of supported decision-making, sets out nine principles and eight essential elements of a ‘Diversity, Dignity, Equity and Best Practice Framework for Supported Decision-making’ and recommends implementation strategies. &lt;br&gt; For enquiries, please contact: Professor Christine Bigby, c.bigby@latrobe.edu.au Living with Disability Research Centre, La Trobe University, Vic, 3086, Australia. &lt;br&gt; &lt;br&gt;","license":"Creative Commons Attribution 4.0 International","note":"dimensions: 3207740 Bytes\nDOI: 10.26181/21965183.V2","page":"3207740 Bytes","publisher":"La Trobe","source":"DOI.org (Datacite)","title":"Diversity, dignity, equity and best practice: a framework for supported decision-making","title-short":"Diversity, dignity, equity and best practice","URL":"https://opal.latrobe.edu.au/articles/report/Diversity_dignity_equity_and_best_practice_a_framework_for_supported_decision-making/21965183/2","author":[{"family":"Bigby","given":"Christine"},{"family":"Carney","given":"Terry"},{"family":"Then","given":"Shih-Ning"},{"family":"Wiesel","given":"Ilan"},{"family":"Sinclair","given":"Craig"},{"family":"Douglas","given":"Jacinta"},{"family":"Duffy","given":"Julia"}],"accessed":{"date-parts":[["2025",10,28]]},"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 Bigby et al. 2023</w:t>
      </w:r>
      <w:r w:rsidRPr="008C7EFA">
        <w:rPr>
          <w:rFonts w:ascii="DM Sans" w:hAnsi="DM Sans"/>
          <w:sz w:val="18"/>
          <w:szCs w:val="18"/>
        </w:rPr>
        <w:fldChar w:fldCharType="end"/>
      </w:r>
    </w:p>
  </w:footnote>
  <w:footnote w:id="22">
    <w:p w14:paraId="29C0FCD9"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{"citationID":"a2lo2v5vut1","properties":{"formattedCitation":"Our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Disabilities.","noteIndex":22},"citationItems":[{"id":396,"uris":["http://zotero.org/users/local/OX3UTt8z/items/W8Q85Y86"],"itemData":{"id":396,"type":"report","publisher":"Our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23">
    <w:p w14:paraId="6BB0DC6F"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{"citationID":"aia27hcei2","properties":{"formattedCitation":"James I. Charlton, {\\i{}Nothing About Us Without Us: Disability Oppression and Empowerment} (University of California Press, 1998), https://doi.org/10.1525/9780520925441.","plainCitation":"James I. Charlton, Nothing About Us Without Us: Disability Oppression and Empowerment (University of California Press, 1998), https://doi.org/10.1525/9780520925441.","noteIndex":23},"citationItems":[{"id":476,"uris":["http://zotero.org/users/local/OX3UTt8z/items/KK38W4UT"],"itemData":{"id":476,"type":"book","ISBN":"978-0-520-92544-1","note":"DOI: 10.1525/9780520925441","publisher":"University of California Press","source":"DOI.org (Crossref)","title":"Nothing About Us Without Us: Disability Oppression and Empowerment","title-short":"Nothing About Us Without Us","URL":"https://www.degruyter.com/document/doi/10.1525/9780520925441/html","author":[{"family":"Charlton","given":"James I."}],"accessed":{"date-parts":[["2025",10,31]]},"issued":{"date-parts":[["1998",3,27]]}}}],"schema":"https://github.com/citation-style-language/schema/raw/master/csl-citation.json"}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Charlton 1998</w:t>
      </w:r>
      <w:r w:rsidRPr="008C7EFA">
        <w:rPr>
          <w:rFonts w:ascii="DM Sans" w:hAnsi="DM Sans"/>
          <w:sz w:val="18"/>
          <w:szCs w:val="18"/>
        </w:rPr>
        <w:fldChar w:fldCharType="end"/>
      </w:r>
    </w:p>
  </w:footnote>
  <w:footnote w:id="24">
    <w:p w14:paraId="7B0572BA"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{"citationID":"ai383fi172","properties":{"formattedCitation":"Royal Commission into Violence, Abuse, Neglect and Exploitation of People with Disability, {\\i{}Final Report}; Royal Commission into Violence, {\\i{}Final Report: Abuse, Neglect and Exploitation of People with Disability}; J. Breckenridge et al., {\\i{}Understanding Economic and Financial Abuse and Disability in the Context of Domestic and Family Violence} (UNSW Gendered Violence Research Network; Commonwealth Bank of Australia, 2021), https://www.commbank.com.au/content/dam/commbank-assets/support/2021-09/unsw-disability-report-4.pdf.","plainCitation":"Royal Commission into Violence, Abuse, Neglect and Exploitation of People with Disability, Final Report; Royal Commission into Violence, Final Report: Abuse, Neglect and Exploitation of People with Disability; J. Breckenridge et al., Understanding Economic and Financial Abuse and Disability in the Context of Domestic and Family Violence (UNSW Gendered Violence Research Network; Commonwealth Bank of Australia, 2021), https://www.commbank.com.au/content/dam/commbank-assets/support/2021-09/unsw-disability-report-4.pdf.","noteIndex":24},"citationItems":[{"id":437,"uris":["http://zotero.org/users/local/OX3UTt8z/items/3JTNURHL"],"itemData":{"id":437,"type":"report","abstract":"Violence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Disability"}],"issued":{"date-parts":[["2023"]]}}},{"id":394,"uris":["http://zotero.org/users/local/OX3UTt8z/items/AFV5IY26"],"itemData":{"id":394,"type":"report","publisher":"Commonwealth of Australia","title":"Final Report: Abuse, Neglect and Exploitation of People with Disability","author":[{"family":"Royal Commission into Violence","given":""}],"issued":{"date-parts":[["2023"]]}}},{"id":434,"uris":["http://zotero.org/users/local/OX3UTt8z/items/RKCWHDNW"],"itemData":{"id":434,"type":"report","event-place":"NSW","language":"en","publisher":"UNSW Gendered Violence Research Network; Commonwealth Bank of Australia","publisher-place":"NSW","source":"Zotero","title":"Understanding Economic and Financial Abuse and Disability in the Context of Domestic and Family Violence","URL":"https://www.commbank.com.au/content/dam/commbank-assets/support/2021-09/unsw-disability-report-4.pdf","author":[{"family":"Breckenridge","given":"J"},{"family":"Singh","given":"S"},{"family":"Lyons","given":"G"},{"family":"Suchting","given":"M"}],"issued":{"date-parts":[["2021"]]}}}],"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 Breckenridge et al. 2021</w:t>
      </w:r>
      <w:r w:rsidRPr="008C7EFA">
        <w:rPr>
          <w:rFonts w:ascii="DM Sans" w:hAnsi="DM Sans"/>
          <w:sz w:val="18"/>
          <w:szCs w:val="18"/>
        </w:rPr>
        <w:fldChar w:fldCharType="end"/>
      </w:r>
    </w:p>
  </w:footnote>
  <w:footnote w:id="25">
    <w:p w14:paraId="1B0F32B3"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{"citationID":"a1ac0lj03cu","properties":{"formattedCitation":"National Disability Insurance Agency, {\\i{}Fraud Fusion Taskforce Investigates $1 Billion in NDIS Payments in First Year}, 2024, https://www.ndis.gov.au/news/9725-fraud-fusion-taskforce-investigates-1-billion-ndis-payments-first-year.","plainCitation":"National Disability Insurance Agency, Fraud Fusion Taskforce Investigates $1 Billion in NDIS Payments in First Year, 2024, https://www.ndis.gov.au/news/9725-fraud-fusion-taskforce-investigates-1-billion-ndis-payments-first-year.","noteIndex":25},"citationItems":[{"id":405,"uris":["http://zotero.org/users/local/OX3UTt8z/items/7HXMH2PI"],"itemData":{"id":405,"type":"article-newspaper","title":"Fraud fusion taskforce investigates $1 billion in NDIS payments in first year","URL":"https://www.ndis.gov.au/news/9725-fraud-fusion-taskforce-investigates-1-billion-ndis-payments-first-year","author":[{"literal":"National Disability Insurance Agency"}],"issued":{"date-parts":[["2024"]]}}}],"schema":"https://github.com/citation-style-language/schema/raw/master/csl-citation.json"}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National Disability Insurance Agency 2024</w:t>
      </w:r>
      <w:r w:rsidRPr="008C7EFA">
        <w:rPr>
          <w:rFonts w:ascii="DM Sans" w:hAnsi="DM Sans"/>
          <w:sz w:val="18"/>
          <w:szCs w:val="18"/>
        </w:rPr>
        <w:fldChar w:fldCharType="end"/>
      </w:r>
    </w:p>
  </w:footnote>
  <w:footnote w:id="26">
    <w:p w14:paraId="3118AA83"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{"citationID":"ami1060gn7","properties":{"formattedCitation":"National Disability Insurance Agency, {\\i{}Fraud Fusion Taskforce Investigates $1 Billion in NDIS Payments in First Year}; Our Watch and Women with Disabilities Victoria, {\\i{}Changing the Landscape: A National Resource to Prevent Violence against Women and Girls with Disabilities}.","plainCitation":"National Disability Insurance Agency, Fraud Fusion Taskforce Investigates $1 Billion in NDIS Payments in First Year; Our Watch and Women with Disabilities Victoria, Changing the Landscape: A National Resource to Prevent Violence against Women and Girls with Disabilities.","noteIndex":26},"citationItems":[{"id":405,"uris":["http://zotero.org/users/local/OX3UTt8z/items/7HXMH2PI"],"itemData":{"id":405,"type":"article-newspaper","title":"Fraud fusion taskforce investigates $1 billion in NDIS payments in first year","URL":"https://www.ndis.gov.au/news/9725-fraud-fusion-taskforce-investigates-1-billion-ndis-payments-first-year","author":[{"literal":"National Disability Insurance Agency"}],"issued":{"date-parts":[["2024"]]}}},{"id":396,"uris":["http://zotero.org/users/local/OX3UTt8z/items/W8Q85Y86"],"itemData":{"id":396,"type":"report","publisher":"Our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National Disability Insurance Agency 2024; Our Watch and Women with Disabilities Victoria 2022</w:t>
      </w:r>
      <w:r w:rsidRPr="008C7EFA">
        <w:rPr>
          <w:rFonts w:ascii="DM Sans" w:hAnsi="DM Sans"/>
          <w:sz w:val="18"/>
          <w:szCs w:val="18"/>
        </w:rPr>
        <w:fldChar w:fldCharType="end"/>
      </w:r>
    </w:p>
  </w:footnote>
  <w:footnote w:id="27">
    <w:p w14:paraId="1A5220E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{"citationID":"alm94d0bsu","properties":{"formattedCitation":"Royal Commission into Violence, Abuse, Neglect and Exploitation of People with Disability, {\\i{}Final Report}; Economic Justice Australia, {\\i{}Dob-Ins and Domestic Violence: How Australia\\uc0\\u8217{}s Welfare Fraud Tip-off Line Makes Women Less Safe} (Economic Justice Australia, 2022), https://www.ejaustralia.org.au/dob-ins-and-domestic-violence-how-australias-welfare-fraud-tip-off-line-makes-women-less-safe.","plainCitation":"Royal Commission into Violence, Abuse, Neglect and Exploitation of People with Disability, Final Report; Economic Justice Australia, Dob-Ins and Domestic Violence: How Australia’s Welfare Fraud Tip-off Line Makes Women Less Safe (Economic Justice Australia, 2022), https://www.ejaustralia.org.au/dob-ins-and-domestic-violence-how-australias-welfare-fraud-tip-off-line-makes-women-less-safe.","noteIndex":27},"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Disability"}],"issued":{"date-parts":[["2023"]]}}},{"id":429,"uris":["http://zotero.org/users/local/OX3UTt8z/items/E6SJ4JI7"],"itemData":{"id":429,"type":"report","publisher":"Economic Justice Australia","title":"Dob-ins and domestic violence: How Australia’s welfare fraud tip-off line makes women less safe","URL":"https://www.ejaustralia.org.au/dob-ins-and-domestic-violence-how-australias-welfare-fraud-tip-off-line-makes-women-less-safe","author":[{"family":"Economic Justice Australia","given":""}],"issued":{"date-parts":[["2022"]]}}}],"schema":"https://github.com/citation-style-language/schema/raw/master/csl-citation.json"}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 Economic Justice Australia 2022</w:t>
      </w:r>
      <w:r w:rsidRPr="008C7EFA">
        <w:rPr>
          <w:rFonts w:ascii="DM Sans" w:hAnsi="DM Sans"/>
          <w:sz w:val="18"/>
          <w:szCs w:val="18"/>
        </w:rPr>
        <w:fldChar w:fldCharType="end"/>
      </w:r>
    </w:p>
  </w:footnote>
  <w:footnote w:id="28">
    <w:p w14:paraId="5BC447E8"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{"citationID":"aiptccivsh","properties":{"formattedCitation":"Our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Disabilities.","noteIndex":28},"citationItems":[{"id":396,"uris":["http://zotero.org/users/local/OX3UTt8z/items/W8Q85Y86"],"itemData":{"id":396,"type":"report","publisher":"Our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29">
    <w:p w14:paraId="140765E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{"citationID":"a18ilssraem","properties":{"formattedCitation":"Economic Justice Australia, {\\i{}Dob-Ins and Domestic Violence: How Australia\\uc0\\u8217{}s Welfare Fraud Tip-off Line Makes Women Less Safe}.","plainCitation":"Economic Justice Australia, Dob-Ins and Domestic Violence: How Australia’s Welfare Fraud Tip-off Line Makes Women Less Safe.","noteIndex":29},"citationItems":[{"id":429,"uris":["http://zotero.org/users/local/OX3UTt8z/items/E6SJ4JI7"],"itemData":{"id":429,"type":"report","publisher":"Economic Justice Australia","title":"Dob-ins and domestic violence: How Australia’s welfare fraud tip-off line makes women less safe","URL":"https://www.ejaustralia.org.au/dob-ins-and-domestic-violence-how-australias-welfare-fraud-tip-off-line-makes-women-less-safe","author":[{"family":"Economic Justice Australia","given":""}],"issued":{"date-parts":[["2022"]]}}}],"schema":"https://github.com/citation-style-language/schema/raw/master/csl-citation.json"}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Economic Justice Australia 2022</w:t>
      </w:r>
      <w:r w:rsidRPr="008C7EFA">
        <w:rPr>
          <w:rFonts w:ascii="DM Sans" w:hAnsi="DM Sans"/>
          <w:sz w:val="18"/>
          <w:szCs w:val="18"/>
        </w:rPr>
        <w:fldChar w:fldCharType="end"/>
      </w:r>
    </w:p>
  </w:footnote>
  <w:footnote w:id="30">
    <w:p w14:paraId="7ADD017E"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{"citationID":"a28j7tfj2h2","properties":{"formattedCitation":"Royal Commission into Violence, Abuse, Neglect and Exploitation of People with Disability, {\\i{}Final Report}.","plainCitation":"Royal Commission into Violence, Abuse, Neglect and Exploitation of People with Disability, Final Report.","noteIndex":30},"citationItems":[{"id":437,"uris":["http://zotero.org/users/local/OX3UTt8z/items/3JTNURHL"],"itemData":{"id":437,"type":"report","abstract":"Violence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w:t>
      </w:r>
      <w:r w:rsidRPr="008C7EFA">
        <w:rPr>
          <w:rFonts w:ascii="DM Sans" w:hAnsi="DM Sans"/>
          <w:sz w:val="18"/>
          <w:szCs w:val="18"/>
        </w:rPr>
        <w:fldChar w:fldCharType="end"/>
      </w:r>
    </w:p>
  </w:footnote>
  <w:footnote w:id="31">
    <w:p w14:paraId="0B8F2FEB"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{"citationID":"a1q4t650cji","properties":{"formattedCitation":"Our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Disabilities.","noteIndex":31},"citationItems":[{"id":396,"uris":["http://zotero.org/users/local/OX3UTt8z/items/W8Q85Y86"],"itemData":{"id":396,"type":"report","publisher":"Our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32">
    <w:p w14:paraId="0F2E08A4"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{"citationID":"a25r9r9a7tg","properties":{"formattedCitation":"Royal Commission into Violence, Abuse, Neglect and Exploitation of People with Disability, {\\i{}Final Report}; Bigby et al., {\\i{}Diversity, Dignity, Equity and Best Practice}.","plainCitation":"Royal Commission into Violence, Abuse, Neglect and Exploitation of People with Disability, Final Report; Bigby et al., Diversity, Dignity, Equity and Best Practice.","noteIndex":32},"citationItems":[{"id":437,"uris":["http://zotero.org/users/local/OX3UTt8z/items/3JTNURHL"],"itemData":{"id":437,"type":"report","abstract":"Violence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Disability"}],"issued":{"date-parts":[["2023"]]}}},{"id":428,"uris":["http://zotero.org/users/local/OX3UTt8z/items/LC7AWVHP"],"itemData":{"id":428,"type":"report","abstract":"This research aimed to understand the significance of supported decision-making to the lives of people with cognitive disabilities, identify its essential elements common to anyone with cognitive disabilities in any context, and locate key implementation issues. For this Report, we understand people with cognitive disabilities to include people with intellectual disabilities, acquired brain injury, dementia and mental health conditions. Synthesising the research findings, this Report articulates the benefits of supported decision-making, sets out nine principles and eight essential elements of a ‘Diversity, Dignity, Equity and Best Practice Framework for Supported Decision-making’ and recommends implementation strategies. &lt;br&gt; For enquiries, please contact: Professor Christine Bigby, c.bigby@latrobe.edu.au Living with Disability Research Centre, La Trobe University, Vic, 3086, Australia. &lt;br&gt; &lt;br&gt;","license":"Creative Commons Attribution 4.0 International","note":"dimensions: 3207740 Bytes\nDOI: 10.26181/21965183.V2","page":"3207740 Bytes","publisher":"La Trobe","source":"DOI.org (Datacite)","title":"Diversity, dignity, equity and best practice: a framework for supported decision-making","title-short":"Diversity, dignity, equity and best practice","URL":"https://opal.latrobe.edu.au/articles/report/Diversity_dignity_equity_and_best_practice_a_framework_for_supported_decision-making/21965183/2","author":[{"family":"Bigby","given":"Christine"},{"family":"Carney","given":"Terry"},{"family":"Then","given":"Shih-Ning"},{"family":"Wiesel","given":"Ilan"},{"family":"Sinclair","given":"Craig"},{"family":"Douglas","given":"Jacinta"},{"family":"Duffy","given":"Julia"}],"accessed":{"date-parts":[["2025",10,28]]},"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 Bigby et al. 2023</w:t>
      </w:r>
      <w:r w:rsidRPr="008C7EFA">
        <w:rPr>
          <w:rFonts w:ascii="DM Sans" w:hAnsi="DM Sans"/>
          <w:sz w:val="18"/>
          <w:szCs w:val="18"/>
        </w:rPr>
        <w:fldChar w:fldCharType="end"/>
      </w:r>
    </w:p>
  </w:footnote>
  <w:footnote w:id="33">
    <w:p w14:paraId="740E2CE1"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{"citationID":"a1n49u4b3t0","properties":{"formattedCitation":"Our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 Dyson et al., {\\i{}\\uc0\\u8220{}Whatever It Takes.\\uc0\\u8221{}}","plainCitation":"Our Watch and Women with Disabilities Victoria, Changing the Landscape: A National Resource to Prevent Violence against Women and Girls with Disabilities; Royal Commission into Violence, Abuse, Neglect and Exploitation of People with Disability, Final Report; Dyson et al., “Whatever It Takes.”","noteIndex":33},"citationItems":[{"id":396,"uris":["http://zotero.org/users/local/OX3UTt8z/items/W8Q85Y86"],"itemData":{"id":396,"type":"report","publisher":"Our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Disability"}],"issued":{"date-parts":[["2023"]]}}},{"id":447,"uris":["http://zotero.org/users/local/OX3UTt8z/items/HQM5YBFI"],"itemData":{"id":447,"type":"book","abstract":"This research project aims to inform the development of guidelines for tertiary response services to respond effectively to the needs of women with disabilities. Surveys and case studies were undertaken with support services in Australia to investigate current models and approaches and good practice. This was supplemented with interviews with women with disabilities who were either clients of the services or who had never used such services, regarding service use and help seeking. This report presents the findings of the project and recommendations regarding promoting access and accessibility, building cross-sector collaboration, involving women with disabilities, and data collection","event-place":"N.S.W.","ISBN":"978-1-925372-57-1","language":"en","note":"OCLC: 1001316528","publisher":"ANROWS","publisher-place":"N.S.W.","source":"Open WorldCat","title":"'Whatever it takes': access for women with disabilities to domestic and family violence services : final report","title-short":"'Whatever it takes'","author":[{"family":"Dyson","given":"Sue"},{"family":"Frawley","given":"Patsie"},{"family":"Robinson","given":"Sally"}],"issued":{"date-parts":[["2017"]]}}}],"schema":"https://github.com/citation-style-language/schema/raw/master/csl-citation.json"}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 Dyson et al. 2017</w:t>
      </w:r>
      <w:r w:rsidRPr="008C7EFA">
        <w:rPr>
          <w:rFonts w:ascii="DM Sans" w:hAnsi="DM Sans"/>
          <w:sz w:val="18"/>
          <w:szCs w:val="18"/>
        </w:rPr>
        <w:fldChar w:fldCharType="end"/>
      </w:r>
    </w:p>
  </w:footnote>
  <w:footnote w:id="34">
    <w:p w14:paraId="5EDCA18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{"citationID":"a8jiphevf4","properties":{"formattedCitation":"Our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Disabilities.","noteIndex":34},"citationItems":[{"id":396,"uris":["http://zotero.org/users/local/OX3UTt8z/items/W8Q85Y86"],"itemData":{"id":396,"type":"report","publisher":"Our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35">
    <w:p w14:paraId="512CD61C"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{"citationID":"abs38av166","properties":{"formattedCitation":"Our Watch and Women with Disabilities Victoria, {\\i{}Changing the Landscape: A National Resource to Prevent Violence against Women and Girls with Disabilities}; Dyson et al., {\\i{}\\uc0\\u8220{}Whatever It Takes\\uc0\\u8221{}}; Maher et al., {\\i{}Women, Disability and Violence}.","plainCitation":"Our Watch and Women with Disabilities Victoria, Changing the Landscape: A National Resource to Prevent Violence against Women and Girls with Disabilities; Dyson et al., “Whatever It Takes”; Maher et al., Women, Disability and Violence.","noteIndex":35},"citationItems":[{"id":396,"uris":["http://zotero.org/users/local/OX3UTt8z/items/W8Q85Y86"],"itemData":{"id":396,"type":"report","publisher":"Our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Victoria"}],"issued":{"date-parts":[["2022"]]}}},{"id":447,"uris":["http://zotero.org/users/local/OX3UTt8z/items/HQM5YBFI"],"itemData":{"id":447,"type":"book","abstract":"This research project aims to inform the development of guidelines for tertiary response services to respond effectively to the needs of women with disabilities. Surveys and case studies were undertaken with support services in Australia to investigate current models and approaches and good practice. This was supplemented with interviews with women with disabilities who were either clients of the services or who had never used such services, regarding service use and help seeking. This report presents the findings of the project and recommendations regarding promoting access and accessibility, building cross-sector collaboration, involving women with disabilities, and data collection","event-place":"N.S.W.","ISBN":"978-1-925372-57-1","language":"en","note":"OCLC: 1001316528","publisher":"ANROWS","publisher-place":"N.S.W.","source":"Open WorldCat","title":"'Whatever it takes': access for women with disabilities to domestic and family violence services : final report","title-short":"'Whatever it takes'","author":[{"family":"Dyson","given":"Sue"},{"family":"Frawley","given":"Patsie"},{"family":"Robinson","given":"Sally"}],"issued":{"date-parts":[["2017"]]}}},{"id":453,"uris":["http://zotero.org/users/local/OX3UTt8z/items/CK9JLNCD"],"itemData":{"id":453,"type":"book","abstract":"This report explores how women with disability seek justice, redress, and support after experiencing violence - particularly sexual assault and intimate partner violence - and the pathways and barriers they encounter. It also examines how these women position and interpret experiences of violence in relation to their disability, the mechanisms and factors that lead to incidences of violence being reported, and their experiences of the service and justice systems. It draws on a small study with 36 women and 18 service providers in New South Wales and Victoria. The key findings for policy and practice are also discussed","event-place":"Sydney","ISBN":"978-1-925372-75-5","language":"eng","note":"OCLC: 1032597196","publisher":"ANROWS","publisher-place":"Sydney","source":"Open WorldCat","title":"Women, disability and violence: barriers to accessing justice : final report","title-short":"Women, disability and violence","author":[{"family":"Maher","given":"JaneMaree"},{"family":"Spivakovsky","given":"Claire"},{"family":"McCulloch","given":"Jude"},{"family":"McGowan","given":"Jasmine"},{"family":"Beavis","given":"Kara"},{"family":"Lea","given":"Meredith"},{"family":"Cadwallader","given":"Jess"},{"family":"Sands","given":"Therese"}],"issued":{"date-parts":[["2018"]]}}}],"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Dyson et al. 2017; Maher et al. 2018</w:t>
      </w:r>
      <w:r w:rsidRPr="008C7EFA">
        <w:rPr>
          <w:rFonts w:ascii="DM Sans" w:hAnsi="DM Sans"/>
          <w:sz w:val="18"/>
          <w:szCs w:val="18"/>
        </w:rPr>
        <w:fldChar w:fldCharType="end"/>
      </w:r>
    </w:p>
  </w:footnote>
  <w:footnote w:id="36">
    <w:p w14:paraId="401EE0DD"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{"citationID":"a1h0l6dtp3c","properties":{"formattedCitation":"Our Watch and Women with Disabilities Victoria, {\\i{}Changing the Landscape: A National Resource to Prevent Violence against Women and Girls with Disabilities}; Dyson et al., {\\i{}\\uc0\\u8220{}Whatever It Takes.\\uc0\\u8221{}}","plainCitation":"Our Watch and Women with Disabilities Victoria, Changing the Landscape: A National Resource to Prevent Violence against Women and Girls with Disabilities; Dyson et al., “Whatever It Takes.”","noteIndex":36},"citationItems":[{"id":396,"uris":["http://zotero.org/users/local/OX3UTt8z/items/W8Q85Y86"],"itemData":{"id":396,"type":"report","publisher":"Our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Victoria"}],"issued":{"date-parts":[["2022"]]}}},{"id":447,"uris":["http://zotero.org/users/local/OX3UTt8z/items/HQM5YBFI"],"itemData":{"id":447,"type":"book","abstract":"This research project aims to inform the development of guidelines for tertiary response services to respond effectively to the needs of women with disabilities. Surveys and case studies were undertaken with support services in Australia to investigate current models and approaches and good practice. This was supplemented with interviews with women with disabilities who were either clients of the services or who had never used such services, regarding service use and help seeking. This report presents the findings of the project and recommendations regarding promoting access and accessibility, building cross-sector collaboration, involving women with disabilities, and data collection","event-place":"N.S.W.","ISBN":"978-1-925372-57-1","language":"en","note":"OCLC: 1001316528","publisher":"ANROWS","publisher-place":"N.S.W.","source":"Open WorldCat","title":"'Whatever it takes': access for women with disabilities to domestic and family violence services : final report","title-short":"'Whatever it takes'","author":[{"family":"Dyson","given":"Sue"},{"family":"Frawley","given":"Patsie"},{"family":"Robinson","given":"Sally"}],"issued":{"date-parts":[["2017"]]}}}],"schema":"https://github.com/citation-style-language/schema/raw/master/csl-citation.json"}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Dyson et al. 2017</w:t>
      </w:r>
      <w:r w:rsidRPr="008C7EFA">
        <w:rPr>
          <w:rFonts w:ascii="DM Sans" w:hAnsi="DM Sans"/>
          <w:sz w:val="18"/>
          <w:szCs w:val="18"/>
        </w:rPr>
        <w:fldChar w:fldCharType="end"/>
      </w:r>
    </w:p>
  </w:footnote>
  <w:footnote w:id="37">
    <w:p w14:paraId="7BA55F50"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{"citationID":"a6l836n4fd","properties":{"formattedCitation":"Our Watch and Women with Disabilities Victoria, {\\i{}Changing the Landscape: A National Resource to Prevent Violence against Women and Girls with Disabilities}; Bigby et al., {\\i{}Diversity, Dignity, Equity and Best Practice}; Royal Commission into Violence, Abuse, Neglect and Exploitation of People with Disability, {\\i{}Final Report}.","plainCitation":"Our Watch and Women with Disabilities Victoria, Changing the Landscape: A National Resource to Prevent Violence against Women and Girls with Disabilities; Bigby et al., Diversity, Dignity, Equity and Best Practice; Royal Commission into Violence, Abuse, Neglect and Exploitation of People with Disability, Final Report.","noteIndex":37},"citationItems":[{"id":396,"uris":["http://zotero.org/users/local/OX3UTt8z/items/W8Q85Y86"],"itemData":{"id":396,"type":"report","publisher":"Our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Victoria"}],"issued":{"date-parts":[["2022"]]}}},{"id":428,"uris":["http://zotero.org/users/local/OX3UTt8z/items/LC7AWVHP"],"itemData":{"id":428,"type":"report","abstract":"This research aimed to understand the significance of supported decision-making to the lives of people with cognitive disabilities, identify its essential elements common to anyone with cognitive disabilities in any context, and locate key implementation issues. For this Report, we understand people with cognitive disabilities to include people with intellectual disabilities, acquired brain injury, dementia and mental health conditions. Synthesising the research findings, this Report articulates the benefits of supported decision-making, sets out nine principles and eight essential elements of a ‘Diversity, Dignity, Equity and Best Practice Framework for Supported Decision-making’ and recommends implementation strategies. &lt;br&gt; For enquiries, please contact: Professor Christine Bigby, c.bigby@latrobe.edu.au Living with Disability Research Centre, La Trobe University, Vic, 3086, Australia. &lt;br&gt; &lt;br&gt;","license":"Creative Commons Attribution 4.0 International","note":"dimensions: 3207740 Bytes\nDOI: 10.26181/21965183.V2","page":"3207740 Bytes","publisher":"La Trobe","source":"DOI.org (Datacite)","title":"Diversity, dignity, equity and best practice: a framework for supported decision-making","title-short":"Diversity, dignity, equity and best practice","URL":"https://opal.latrobe.edu.au/articles/report/Diversity_dignity_equity_and_best_practice_a_framework_for_supported_decision-making/21965183/2","author":[{"family":"Bigby","given":"Christine"},{"family":"Carney","given":"Terry"},{"family":"Then","given":"Shih-Ning"},{"family":"Wiesel","given":"Ilan"},{"family":"Sinclair","given":"Craig"},{"family":"Douglas","given":"Jacinta"},{"family":"Duffy","given":"Julia"}],"accessed":{"date-parts":[["2025",10,28]]},"issued":{"date-parts":[["2023"]]}}},{"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Bigby et al. 2023; Royal Commission 2023</w:t>
      </w:r>
      <w:r w:rsidRPr="008C7EFA">
        <w:rPr>
          <w:rFonts w:ascii="DM Sans" w:hAnsi="DM Sans"/>
          <w:sz w:val="18"/>
          <w:szCs w:val="18"/>
        </w:rPr>
        <w:fldChar w:fldCharType="end"/>
      </w:r>
    </w:p>
  </w:footnote>
  <w:footnote w:id="38">
    <w:p w14:paraId="124688E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{"citationID":"a1q8i7usqjh","properties":{"formattedCitation":"Royal Commission into Violence, Abuse, Neglect and Exploitation of People with Disability, {\\i{}Final Report}.","plainCitation":"Royal Commission into Violence, Abuse, Neglect and Exploitation of People with Disability, Final Report.","noteIndex":38},"citationItems":[{"id":437,"uris":["http://zotero.org/users/local/OX3UTt8z/items/3JTNURHL"],"itemData":{"id":437,"type":"report","abstract":"Violence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w:t>
      </w:r>
      <w:r w:rsidRPr="008C7EFA">
        <w:rPr>
          <w:rFonts w:ascii="DM Sans" w:hAnsi="DM Sans"/>
          <w:sz w:val="18"/>
          <w:szCs w:val="18"/>
        </w:rPr>
        <w:fldChar w:fldCharType="end"/>
      </w:r>
    </w:p>
  </w:footnote>
  <w:footnote w:id="39">
    <w:p w14:paraId="36FE13A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{"citationID":"ajdhke8ota","properties":{"formattedCitation":"Our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Report}.","plainCitation":"Our Watch and Women with Disabilities Victoria, Changing the Landscape: A National Resource to Prevent Violence against Women and Girls with Disabilities; Royal Commission into Violence, Abuse, Neglect and Exploitation of People with Disability, Final Report.","noteIndex":39},"citationItems":[{"id":396,"uris":["http://zotero.org/users/local/OX3UTt8z/items/W8Q85Y86"],"itemData":{"id":396,"type":"report","publisher":"Our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sz w:val="18"/>
          <w:szCs w:val="18"/>
        </w:rPr>
        <w:fldChar w:fldCharType="end"/>
      </w:r>
    </w:p>
  </w:footnote>
  <w:footnote w:id="40">
    <w:p w14:paraId="4C44C76E"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{"citationID":"a8pgh8d52","properties":{"formattedCitation":"Our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 Children by Choice, {\\i{}Reproductive Coercion and Abuse among Clients with Disabilities} (2023), https://www.childrenbychoice.org.au/wp-content/uploads/2023/01/Reproductive-Coercion-and-Abuse-among-clients-with-disabilities.pdf.","plainCitation":"Our Watch and Women with Disabilities Victoria, Changing the Landscape: A National Resource to Prevent Violence against Women and Girls with Disabilities; Royal Commission into Violence, Abuse, Neglect and Exploitation of People with Disability, Final Report; Children by Choice, Reproductive Coercion and Abuse among Clients with Disabilities (2023), https://www.childrenbychoice.org.au/wp-content/uploads/2023/01/Reproductive-Coercion-and-Abuse-among-clients-with-disabilities.pdf.","noteIndex":40},"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Disability"}],"issued":{"date-parts":[["2023"]]}}},{"id":410,"uris":["http://zotero.org/users/local/OX3UTt8z/items/BAPI4Q65"],"itemData":{"id":410,"type":"report","title":"Reproductive coercion and abuse among clients with disabilities","URL":"https://www.childrenbychoice.org.au/wp-content/uploads/2023/01/Reproductive-Coercion-and-Abuse-among-clients-with-disabilities.pdf","author":[{"literal":"Children by Choice"}],"issued":{"date-parts":[["2023",1]]}}}],"schema":"https://github.com/citation-style-language/schema/raw/master/csl-citation.json"}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 Children by Choice 2023</w:t>
      </w:r>
      <w:r w:rsidRPr="008C7EFA">
        <w:rPr>
          <w:rFonts w:ascii="DM Sans" w:hAnsi="DM Sans"/>
          <w:sz w:val="18"/>
          <w:szCs w:val="18"/>
        </w:rPr>
        <w:fldChar w:fldCharType="end"/>
      </w:r>
    </w:p>
  </w:footnote>
  <w:footnote w:id="41">
    <w:p w14:paraId="05A3B808"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{"citationID":"a1799ilnvi3","properties":{"formattedCitation":"Terri Libesman et al., {\\i{}Parents with Disability and Their Experiences of Child Protection Systems} (Royal Commission into Violence, Abuse, Neglect and Exploitation of People with Disability, 2023).","plainCitation":"Terri Libesman et al., Parents with Disability and Their Experiences of Child Protection Systems (Royal Commission into Violence, Abuse, Neglect and Exploitation of People with Disability, 2023).","noteIndex":42},"citationItems":[{"id":521,"uris":["http://zotero.org/users/local/OX3UTt8z/items/SGIRDAGZ"],"itemData":{"id":521,"type":"report","event-place":"Canberra","publisher":"Royal Commission into Violence, Abuse, Neglect and Exploitation of People with Disability","publisher-place":"Canberra","title":"Parents with Disability and their Experiences of Child Protection Systems","author":[{"family":"Libesman","given":"Terri"},{"family":"Gray","given":"Paul"},{"family":"Chandler","given":"Eloise"},{"family":"Briskman","given":"Linda"},{"family":"Didi","given":"Aminath"},{"family":"Avery","given":"Scott"}],"issued":{"date-parts":[["2023"]]}}}],"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Libesman</w:t>
      </w:r>
      <w:proofErr w:type="spellEnd"/>
      <w:r w:rsidRPr="008C7EFA">
        <w:rPr>
          <w:rFonts w:ascii="DM Sans" w:hAnsi="DM Sans"/>
          <w:sz w:val="18"/>
          <w:szCs w:val="18"/>
        </w:rPr>
        <w:t xml:space="preserve"> et al. 2023</w:t>
      </w:r>
      <w:r w:rsidRPr="008C7EFA">
        <w:rPr>
          <w:rFonts w:ascii="DM Sans" w:hAnsi="DM Sans"/>
          <w:sz w:val="18"/>
          <w:szCs w:val="18"/>
        </w:rPr>
        <w:fldChar w:fldCharType="end"/>
      </w:r>
    </w:p>
  </w:footnote>
  <w:footnote w:id="42">
    <w:p w14:paraId="74D7C20D"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{"citationID":"a13hrljjs3j","properties":{"formattedCitation":"Libesman et al., {\\i{}Parents with Disability and Their Experiences of Child Protection Systems}; Fernando Lima et al., \\uc0\\u8220{}Child Protection Involvement of Children of Mothers with Intellectual Disability,\\uc0\\u8221{} {\\i{}Child Abuse &amp; Neglect} 126 (April 2022): 105515, https://doi.org/10.1016/j.chiabu.2022.105515.","plainCitation":"Libesman et al., Parents with Disability and Their Experiences of Child Protection Systems; Fernando Lima et al., “Child Protection Involvement of Children of Mothers with Intellectual Disability,” Child Abuse &amp; Neglect 126 (April 2022): 105515, https://doi.org/10.1016/j.chiabu.2022.105515.","noteIndex":43},"citationItems":[{"id":521,"uris":["http://zotero.org/users/local/OX3UTt8z/items/SGIRDAGZ"],"itemData":{"id":521,"type":"report","event-place":"Canberra","publisher":"Royal Commission into Violence, Abuse, Neglect and Exploitation of People with Disability","publisher-place":"Canberra","title":"Parents with Disability and their Experiences of Child Protection Systems","author":[{"family":"Libesman","given":"Terri"},{"family":"Gray","given":"Paul"},{"family":"Chandler","given":"Eloise"},{"family":"Briskman","given":"Linda"},{"family":"Didi","given":"Aminath"},{"family":"Avery","given":"Scott"}],"issued":{"date-parts":[["2023"]]}}},{"id":427,"uris":["http://zotero.org/users/local/OX3UTt8z/items/W6VI8TUL"],"itemData":{"id":427,"type":"article-journal","container-title":"Child Abuse &amp; Neglect","DOI":"10.1016/j.chiabu.2022.105515","ISSN":"01452134","journalAbbreviation":"Child Abuse &amp; Neglect","language":"en","page":"105515","source":"DOI.org (Crossref)","title":"Child protection involvement of children of mothers with intellectual disability","volume":"126","author":[{"family":"Lima","given":"Fernando"},{"family":"O'Donnell","given":"Melissa"},{"family":"Bourke","given":"Jenny"},{"family":"Wolff","given":"Brittany"},{"family":"Gibberd","given":"Alison"},{"family":"Llewellyn","given":"Gwynnyth"},{"family":"Leonard","given":"Helen"}],"issued":{"date-parts":[["2022",4]]}}}],"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Libesman</w:t>
      </w:r>
      <w:proofErr w:type="spellEnd"/>
      <w:r w:rsidRPr="008C7EFA">
        <w:rPr>
          <w:rFonts w:ascii="DM Sans" w:hAnsi="DM Sans"/>
          <w:sz w:val="18"/>
          <w:szCs w:val="18"/>
        </w:rPr>
        <w:t xml:space="preserve"> et al. 2023; Lima et al. 2022</w:t>
      </w:r>
      <w:r w:rsidRPr="008C7EFA">
        <w:rPr>
          <w:rFonts w:ascii="DM Sans" w:hAnsi="DM Sans"/>
          <w:sz w:val="18"/>
          <w:szCs w:val="18"/>
        </w:rPr>
        <w:fldChar w:fldCharType="end"/>
      </w:r>
    </w:p>
  </w:footnote>
  <w:footnote w:id="43">
    <w:p w14:paraId="143C60F0"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{"citationID":"at9ubqu77p","properties":{"formattedCitation":"Libesman et al., {\\i{}Parents with Disability and Their Experiences of Child Protection Systems}.","plainCitation":"Libesman et al., Parents with Disability and Their Experiences of Child Protection Systems.","noteIndex":44},"citationItems":[{"id":521,"uris":["http://zotero.org/users/local/OX3UTt8z/items/SGIRDAGZ"],"itemData":{"id":521,"type":"report","event-place":"Canberra","publisher":"Royal Commission into Violence, Abuse, Neglect and Exploitation of People with Disability","publisher-place":"Canberra","title":"Parents with Disability and their Experiences of Child Protection Systems","author":[{"family":"Libesman","given":"Terri"},{"family":"Gray","given":"Paul"},{"family":"Chandler","given":"Eloise"},{"family":"Briskman","given":"Linda"},{"family":"Didi","given":"Aminath"},{"family":"Avery","given":"Scott"}],"issued":{"date-parts":[["2023"]]}}}],"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Libesman</w:t>
      </w:r>
      <w:proofErr w:type="spellEnd"/>
      <w:r w:rsidRPr="008C7EFA">
        <w:rPr>
          <w:rFonts w:ascii="DM Sans" w:hAnsi="DM Sans"/>
          <w:sz w:val="18"/>
          <w:szCs w:val="18"/>
        </w:rPr>
        <w:t xml:space="preserve"> et al. 2023</w:t>
      </w:r>
      <w:r w:rsidRPr="008C7EFA">
        <w:rPr>
          <w:rFonts w:ascii="DM Sans" w:hAnsi="DM Sans"/>
          <w:sz w:val="18"/>
          <w:szCs w:val="18"/>
        </w:rPr>
        <w:fldChar w:fldCharType="end"/>
      </w:r>
    </w:p>
  </w:footnote>
  <w:footnote w:id="44">
    <w:p w14:paraId="6B5FA689"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{"citationID":"a1qtdaskofa","properties":{"formattedCitation":"Breckenridge et al., {\\i{}Understanding Economic and Financial Abuse and Disability in the Context of Domestic and Family Violence}; Lima et al., \\uc0\\u8220{}Child Protection Involvement of Children of Mothers with Intellectual Disability.\\uc0\\u8221{}","plainCitation":"Breckenridge et al., Understanding Economic and Financial Abuse and Disability in the Context of Domestic and Family Violence; Lima et al., “Child Protection Involvement of Children of Mothers with Intellectual Disability.”","noteIndex":45},"citationItems":[{"id":434,"uris":["http://zotero.org/users/local/OX3UTt8z/items/RKCWHDNW"],"itemData":{"id":434,"type":"report","event-place":"NSW","language":"en","publisher":"UNSW Gendered Violence Research Network; Commonwealth Bank of Australia","publisher-place":"NSW","source":"Zotero","title":"Understanding Economic and Financial Abuse and Disability in the Context of Domestic and Family Violence","URL":"https://www.commbank.com.au/content/dam/commbank-assets/support/2021-09/unsw-disability-report-4.pdf","author":[{"family":"Breckenridge","given":"J"},{"family":"Singh","given":"S"},{"family":"Lyons","given":"G"},{"family":"Suchting","given":"M"}],"issued":{"date-parts":[["2021"]]}}},{"id":427,"uris":["http://zotero.org/users/local/OX3UTt8z/items/W6VI8TUL"],"itemData":{"id":427,"type":"article-journal","container-title":"Child Abuse &amp; Neglect","DOI":"10.1016/j.chiabu.2022.105515","ISSN":"01452134","journalAbbreviation":"Child Abuse &amp; Neglect","language":"en","page":"105515","source":"DOI.org (Crossref)","title":"Child protection involvement of children of mothers with intellectual disability","volume":"126","author":[{"family":"Lima","given":"Fernando"},{"family":"O'Donnell","given":"Melissa"},{"family":"Bourke","given":"Jenny"},{"family":"Wolff","given":"Brittany"},{"family":"Gibberd","given":"Alison"},{"family":"Llewellyn","given":"Gwynnyth"},{"family":"Leonard","given":"Helen"}],"issued":{"date-parts":[["2022",4]]}}}],"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Breckenridge et al. 2021; Lima et al. 2022</w:t>
      </w:r>
      <w:r w:rsidRPr="008C7EFA">
        <w:rPr>
          <w:rFonts w:ascii="DM Sans" w:hAnsi="DM Sans"/>
          <w:sz w:val="18"/>
          <w:szCs w:val="18"/>
        </w:rPr>
        <w:fldChar w:fldCharType="end"/>
      </w:r>
    </w:p>
  </w:footnote>
  <w:footnote w:id="45">
    <w:p w14:paraId="4F84BD5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{"citationID":"a7acj2l1ja","properties":{"formattedCitation":"Breckenridge et al., {\\i{}Understanding Economic and Financial Abuse and Disability in the Context of Domestic and Family Violence}; Australian Institute of Health and Welfare, \\uc0\\u8220{}People with Disability - Family, Domestic and Sexual Violence,\\uc0\\u8221{} AIHW, 2023, https://www.aihw.gov.au/family-domestic-and-sexual-violence/population-groups/people-with-disability.","plainCitation":"Breckenridge et al., Understanding Economic and Financial Abuse and Disability in the Context of Domestic and Family Violence; Australian Institute of Health and Welfare, “People with Disability - Family, Domestic and Sexual Violence,” AIHW, 2023, https://www.aihw.gov.au/family-domestic-and-sexual-violence/population-groups/people-with-disability.","noteIndex":46},"citationItems":[{"id":434,"uris":["http://zotero.org/users/local/OX3UTt8z/items/RKCWHDNW"],"itemData":{"id":434,"type":"report","event-place":"NSW","language":"en","publisher":"UNSW Gendered Violence Research Network; Commonwealth Bank of Australia","publisher-place":"NSW","source":"Zotero","title":"Understanding Economic and Financial Abuse and Disability in the Context of Domestic and Family Violence","URL":"https://www.commbank.com.au/content/dam/commbank-assets/support/2021-09/unsw-disability-report-4.pdf","author":[{"family":"Breckenridge","given":"J"},{"family":"Singh","given":"S"},{"family":"Lyons","given":"G"},{"family":"Suchting","given":"M"}],"issued":{"date-parts":[["2021"]]}}},{"id":445,"uris":["http://zotero.org/users/local/OX3UTt8z/items/ZGND6J5L"],"itemData":{"id":445,"type":"webpage","container-title":"AIHW","title":"People with disability - Family, domestic and sexual violence","URL":"https://www.aihw.gov.au/family-domestic-and-sexual-violence/population-groups/people-with-disability","author":[{"literal":"Australian Institute of Health and Welfare"}],"issued":{"date-parts":[["2023"]]}}}],"schema":"https://github.com/citation-style-language/schema/raw/master/csl-citation.json"}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Breckenridge et al. 2021; Australian Institute of Health and Welfare 2023</w:t>
      </w:r>
      <w:r w:rsidRPr="008C7EFA">
        <w:rPr>
          <w:rFonts w:ascii="DM Sans" w:hAnsi="DM Sans"/>
          <w:sz w:val="18"/>
          <w:szCs w:val="18"/>
        </w:rPr>
        <w:fldChar w:fldCharType="end"/>
      </w:r>
    </w:p>
  </w:footnote>
  <w:footnote w:id="46">
    <w:p w14:paraId="325FCDD4"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{"citationID":"a2e5t9r8ceo","properties":{"formattedCitation":"Royal Commission into Violence, Abuse, Neglect and Exploitation of People with Disability, {\\i{}Final Report}; Our Watch and Women with Disabilities Victoria, {\\i{}Changing the Landscape: A National Resource to Prevent Violence against Women and Girls with Disabilities}.","plainCitation":"Royal Commission into Violence, Abuse, Neglect and Exploitation of People with Disability, Final Report; Our Watch and Women with Disabilities Victoria, Changing the Landscape: A National Resource to Prevent Violence against Women and Girls with Disabilities.","noteIndex":47},"citationItems":[{"id":437,"uris":["http://zotero.org/users/local/OX3UTt8z/items/3JTNURHL"],"itemData":{"id":437,"type":"report","abstract":"Violence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Royal Commission 2023; Our Watch and Women with Disabilities Victoria 2022</w:t>
      </w:r>
      <w:r w:rsidRPr="008C7EFA">
        <w:rPr>
          <w:rFonts w:ascii="DM Sans" w:hAnsi="DM Sans"/>
          <w:sz w:val="18"/>
          <w:szCs w:val="18"/>
        </w:rPr>
        <w:fldChar w:fldCharType="end"/>
      </w:r>
    </w:p>
  </w:footnote>
  <w:footnote w:id="47">
    <w:p w14:paraId="20680C18"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{"citationID":"a78ru13q3m","properties":{"formattedCitation":"Maher et al., {\\i{}Women, Disability and Violence}; Royal Commission into Violence, Abuse, Neglect and Exploitation of People with Disability, {\\i{}Final Report}; Our Watch and Women with Disabilities Victoria, {\\i{}Changing the Landscape: A National Resource to Prevent Violence against Women and Girls with Disabilities}.","plainCitation":"Maher et al., Women, Disability and Violence; Royal Commission into Violence, Abuse, Neglect and Exploitation of People with Disability, Final Report; Our Watch and Women with Disabilities Victoria, Changing the Landscape: A National Resource to Prevent Violence against Women and Girls with Disabilities.","noteIndex":48},"citationItems":[{"id":453,"uris":["http://zotero.org/users/local/OX3UTt8z/items/CK9JLNCD"],"itemData":{"id":453,"type":"book","abstract":"This report explores how women with disability seek justice, redress, and support after experiencing violence - particularly sexual assault and intimate partner violence - and the pathways and barriers they encounter. It also examines how these women position and interpret experiences of violence in relation to their disability, the mechanisms and factors that lead to incidences of violence being reported, and their experiences of the service and justice systems. It draws on a small study with 36 women and 18 service providers in New South Wales and Victoria. The key findings for policy and practice are also discussed","event-place":"Sydney","ISBN":"978-1-925372-75-5","language":"eng","note":"OCLC: 1032597196","publisher":"ANROWS","publisher-place":"Sydney","source":"Open WorldCat","title":"Women, disability and violence: barriers to accessing justice : final report","title-short":"Women, disability and violence","author":[{"family":"Maher","given":"JaneMaree"},{"family":"Spivakovsky","given":"Claire"},{"family":"McCulloch","given":"Jude"},{"family":"McGowan","given":"Jasmine"},{"family":"Beavis","given":"Kara"},{"family":"Lea","given":"Meredith"},{"family":"Cadwallader","given":"Jess"},{"family":"Sands","given":"Therese"}],"issued":{"date-parts":[["2018"]]}}},{"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Maher et al. 2018; Royal Commission 2023; Our Watch and Women with Disabilities Victoria 2022</w:t>
      </w:r>
      <w:r w:rsidRPr="008C7EFA">
        <w:rPr>
          <w:rFonts w:ascii="DM Sans" w:hAnsi="DM Sans"/>
          <w:sz w:val="18"/>
          <w:szCs w:val="18"/>
        </w:rPr>
        <w:fldChar w:fldCharType="end"/>
      </w:r>
    </w:p>
  </w:footnote>
  <w:footnote w:id="48">
    <w:p w14:paraId="52A4B289"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{"citationID":"a2hguih7uvi","properties":{"formattedCitation":"Our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Report}.","plainCitation":"Our Watch and Women with Disabilities Victoria, Changing the Landscape: A National Resource to Prevent Violence against Women and Girls with Disabilities; Royal Commission into Violence, Abuse, Neglect and Exploitation of People with Disability, Final Report.","noteIndex":49},"citationItems":[{"id":396,"uris":["http://zotero.org/users/local/OX3UTt8z/items/W8Q85Y86"],"itemData":{"id":396,"type":"report","publisher":"Our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sz w:val="18"/>
          <w:szCs w:val="18"/>
        </w:rPr>
        <w:fldChar w:fldCharType="end"/>
      </w:r>
    </w:p>
  </w:footnote>
  <w:footnote w:id="49">
    <w:p w14:paraId="136205FE"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{"citationID":"a9marautos","properties":{"formattedCitation":"Our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Report}.","plainCitation":"Our Watch and Women with Disabilities Victoria, Changing the Landscape: A National Resource to Prevent Violence against Women and Girls with Disabilities; Royal Commission into Violence, Abuse, Neglect and Exploitation of People with Disability, Final Report.","noteIndex":50},"citationItems":[{"id":396,"uris":["http://zotero.org/users/local/OX3UTt8z/items/W8Q85Y86"],"itemData":{"id":396,"type":"report","publisher":"Our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sz w:val="18"/>
          <w:szCs w:val="18"/>
        </w:rPr>
        <w:fldChar w:fldCharType="end"/>
      </w:r>
    </w:p>
  </w:footnote>
  <w:footnote w:id="50">
    <w:p w14:paraId="328C9B0B"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{"citationID":"afr9puh9ll","properties":{"formattedCitation":"Garc\\uc0\\u237{}a-Cu\\uc0\\u233{}llar et al., \\uc0\\u8220{}The Prevalence of Intimate Partner Violence against Women with Disabilities.\\uc0\\u8221{}","plainCitation":"García-Cuéllar et al., “The Prevalence of Intimate Partner Violence against Women with Disabilities.”","noteIndex":51},"citationItems":[{"id":580,"uris":["http://zotero.org/users/local/OX3UTt8z/items/4VTANI2X"],"itemData":{"id":580,"type":"article-journal","container-title":"Disability and Rehabilitation","DOI":"10.1080/09638288.2022.2025927","ISSN":"0963-8288, 1464-5165","issue":"1","journalAbbreviation":"Disability and Rehabilitation","language":"en","page":"1-8","source":"DOI.org (Crossref)","title":"The prevalence of intimate partner violence against women with disabilities: a systematic review of the literature","title-short":"The prevalence of intimate partner violence against women with disabilities","volume":"45","author":[{"family":"García-Cuéllar","given":"Mónica Miriam"},{"family":"Pastor-Moreno","given":"Guadalupe"},{"family":"Ruiz-Pérez","given":"Isabel"},{"family":"Henares-Montiel","given":"Jesús"}],"issued":{"date-parts":[["2023",1,2]]}}}],"schema":"https://github.com/citation-style-language/schema/raw/master/csl-citation.json"}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García-Cuéllar et al. 2023</w:t>
      </w:r>
      <w:r w:rsidRPr="008C7EFA">
        <w:rPr>
          <w:rFonts w:ascii="DM Sans" w:hAnsi="DM Sans"/>
          <w:sz w:val="18"/>
          <w:szCs w:val="18"/>
        </w:rPr>
        <w:fldChar w:fldCharType="end"/>
      </w:r>
    </w:p>
  </w:footnote>
  <w:footnote w:id="51">
    <w:p w14:paraId="5724D08F"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{"citationID":"a1436um3sfo","properties":{"formattedCitation":"Our Watch and Women with Disabilities Victoria, {\\i{}Changing the Landscape: A National Resource to Prevent Violence against Women and Girls with Disabilities}; Garc\\uc0\\u237{}a-Cu\\uc0\\u233{}llar et al., \\uc0\\u8220{}The Prevalence of Intimate Partner Violence against Women with Disabilities\\uc0\\u8221{}; Maher et al., {\\i{}Women, Disability and Violence}; Dyson et al., {\\i{}\\uc0\\u8220{}Whatever It Takes.\\uc0\\u8221{}}","plainCitation":"Our Watch and Women with Disabilities Victoria, Changing the Landscape: A National Resource to Prevent Violence against Women and Girls with Disabilities; García-Cuéllar et al., “The Prevalence of Intimate Partner Violence against Women with Disabilities”; Maher et al., Women, Disability and Violence; Dyson et al., “Whatever It Takes.”","noteIndex":52},"citationItems":[{"id":396,"uris":["http://zotero.org/users/local/OX3UTt8z/items/W8Q85Y86"],"itemData":{"id":396,"type":"report","publisher":"Our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Victoria"}],"issued":{"date-parts":[["2022"]]}}},{"id":580,"uris":["http://zotero.org/users/local/OX3UTt8z/items/4VTANI2X"],"itemData":{"id":580,"type":"article-journal","container-title":"Disability and Rehabilitation","DOI":"10.1080/09638288.2022.2025927","ISSN":"0963-8288, 1464-5165","issue":"1","journalAbbreviation":"Disability and Rehabilitation","language":"en","page":"1-8","source":"DOI.org (Crossref)","title":"The prevalence of intimate partner violence against women with disabilities: a systematic review of the literature","title-short":"The prevalence of intimate partner violence against women with disabilities","volume":"45","author":[{"family":"García-Cuéllar","given":"Mónica Miriam"},{"family":"Pastor-Moreno","given":"Guadalupe"},{"family":"Ruiz-Pérez","given":"Isabel"},{"family":"Henares-Montiel","given":"Jesús"}],"issued":{"date-parts":[["2023",1,2]]}}},{"id":453,"uris":["http://zotero.org/users/local/OX3UTt8z/items/CK9JLNCD"],"itemData":{"id":453,"type":"book","abstract":"This report explores how women with disability seek justice, redress, and support after experiencing violence - particularly sexual assault and intimate partner violence - and the pathways and barriers they encounter. It also examines how these women position and interpret experiences of violence in relation to their disability, the mechanisms and factors that lead to incidences of violence being reported, and their experiences of the service and justice systems. It draws on a small study with 36 women and 18 service providers in New South Wales and Victoria. The key findings for policy and practice are also discussed","event-place":"Sydney","ISBN":"978-1-925372-75-5","language":"eng","note":"OCLC: 1032597196","publisher":"ANROWS","publisher-place":"Sydney","source":"Open WorldCat","title":"Women, disability and violence: barriers to accessing justice : final report","title-short":"Women, disability and violence","author":[{"family":"Maher","given":"JaneMaree"},{"family":"Spivakovsky","given":"Claire"},{"family":"McCulloch","given":"Jude"},{"family":"McGowan","given":"Jasmine"},{"family":"Beavis","given":"Kara"},{"family":"Lea","given":"Meredith"},{"family":"Cadwallader","given":"Jess"},{"family":"Sands","given":"Therese"}],"issued":{"date-parts":[["2018"]]}}},{"id":447,"uris":["http://zotero.org/users/local/OX3UTt8z/items/HQM5YBFI"],"itemData":{"id":447,"type":"book","abstract":"This research project aims to inform the development of guidelines for tertiary response services to respond effectively to the needs of women with disabilities. Surveys and case studies were undertaken with support services in Australia to investigate current models and approaches and good practice. This was supplemented with interviews with women with disabilities who were either clients of the services or who had never used such services, regarding service use and help seeking. This report presents the findings of the project and recommendations regarding promoting access and accessibility, building cross-sector collaboration, involving women with disabilities, and data collection","event-place":"N.S.W.","ISBN":"978-1-925372-57-1","language":"en","note":"OCLC: 1001316528","publisher":"ANROWS","publisher-place":"N.S.W.","source":"Open WorldCat","title":"'Whatever it takes': access for women with disabilities to domestic and family violence services : final report","title-short":"'Whatever it takes'","author":[{"family":"Dyson","given":"Sue"},{"family":"Frawley","given":"Patsie"},{"family":"Robinson","given":"Sally"}],"issued":{"date-parts":[["2017"]]}}}],"schema":"https://github.com/citation-style-language/schema/raw/master/csl-citation.json"}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 García-Cuéllar et al. 2023; Maher et al. 2018; Dyson et al. 2017</w:t>
      </w:r>
      <w:r w:rsidRPr="008C7EFA">
        <w:rPr>
          <w:rFonts w:ascii="DM Sans" w:hAnsi="DM Sans"/>
          <w:sz w:val="18"/>
          <w:szCs w:val="18"/>
        </w:rPr>
        <w:fldChar w:fldCharType="end"/>
      </w:r>
    </w:p>
  </w:footnote>
  <w:footnote w:id="52">
    <w:p w14:paraId="3A61D671"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{"citationID":"a1olinfffsu","properties":{"formattedCitation":"Our Watch and Women with Disabilities Victoria, {\\i{}Changing the Landscape: A National Resource to Prevent Violence against Women and Girls with Disabilities}.","plainCitation":"Our Watch and Women with Disabilities Victoria, Changing the Landscape: A National Resource to Prevent Violence against Women and Girls with Disabilities.","noteIndex":53},"citationItems":[{"id":396,"uris":["http://zotero.org/users/local/OX3UTt8z/items/W8Q85Y86"],"itemData":{"id":396,"type":"report","publisher":"Our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Our Watch and Women with Disabilities Victoria 2022</w:t>
      </w:r>
      <w:r w:rsidRPr="008C7EFA">
        <w:rPr>
          <w:rFonts w:ascii="DM Sans" w:hAnsi="DM Sans"/>
          <w:sz w:val="18"/>
          <w:szCs w:val="18"/>
        </w:rPr>
        <w:fldChar w:fldCharType="end"/>
      </w:r>
    </w:p>
  </w:footnote>
  <w:footnote w:id="53">
    <w:p w14:paraId="566C746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{"citationID":"atj02i09ot","properties":{"formattedCitation":"V. Letico, \\uc0\\u8220{}Deaf Women Are Twice as Likely to Experience Domestic Violence. How Perpetrators Weaponise Disability,\\uc0\\u8221{} Victoria University, Australia, July 12, 2024, https://www.vu.edu.au/about-vu/news-events/news/deaf-women-are-twice-as-likely-to-experience-domestic-violence-how-perpetrators-weaponise-disability.","plainCitation":"V. Letico, “Deaf Women Are Twice as Likely to Experience Domestic Violence. How Perpetrators Weaponise Disability,” Victoria University, Australia, July 12, 2024, https://www.vu.edu.au/about-vu/news-events/news/deaf-women-are-twice-as-likely-to-experience-domestic-violence-how-perpetrators-weaponise-disability.","noteIndex":54},"citationItems":[{"id":454,"uris":["http://zotero.org/users/local/OX3UTt8z/items/6GDX3RSW"],"itemData":{"id":454,"type":"webpage","container-title":"Victoria University, Australia","title":"Deaf women are twice as likely to experience domestic violence. How perpetrators weaponise disability","URL":"https://www.vu.edu.au/about-vu/news-events/news/deaf-women-are-twice-as-likely-to-experience-domestic-violence-how-perpetrators-weaponise-disability","author":[{"family":"Letico","given":"V."}],"issued":{"date-parts":[["2024",7,12]]}}}],"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Letico</w:t>
      </w:r>
      <w:proofErr w:type="spellEnd"/>
      <w:r w:rsidRPr="008C7EFA">
        <w:rPr>
          <w:rFonts w:ascii="DM Sans" w:hAnsi="DM Sans"/>
          <w:sz w:val="18"/>
          <w:szCs w:val="18"/>
        </w:rPr>
        <w:t xml:space="preserve"> 2024</w:t>
      </w:r>
      <w:r w:rsidRPr="008C7EFA">
        <w:rPr>
          <w:rFonts w:ascii="DM Sans" w:hAnsi="DM Sans"/>
          <w:sz w:val="18"/>
          <w:szCs w:val="18"/>
        </w:rPr>
        <w:fldChar w:fldCharType="end"/>
      </w:r>
    </w:p>
  </w:footnote>
  <w:footnote w:id="54">
    <w:p w14:paraId="19B9AA72"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{"citationID":"a2euggu4ila","properties":{"formattedCitation":"Letico, \\uc0\\u8220{}Deaf Women Are Twice as Likely to Experience Domestic Violence. How Perpetrators Weaponise Disability.\\uc0\\u8221{}","plainCitation":"Letico, “Deaf Women Are Twice as Likely to Experience Domestic Violence. How Perpetrators Weaponise Disability.”","noteIndex":55},"citationItems":[{"id":454,"uris":["http://zotero.org/users/local/OX3UTt8z/items/6GDX3RSW"],"itemData":{"id":454,"type":"webpage","container-title":"Victoria University, Australia","title":"Deaf women are twice as likely to experience domestic violence. How perpetrators weaponise disability","URL":"https://www.vu.edu.au/about-vu/news-events/news/deaf-women-are-twice-as-likely-to-experience-domestic-violence-how-perpetrators-weaponise-disability","author":[{"family":"Letico","given":"V."}],"issued":{"date-parts":[["2024",7,12]]}}}],"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Letico</w:t>
      </w:r>
      <w:proofErr w:type="spellEnd"/>
      <w:r w:rsidRPr="008C7EFA">
        <w:rPr>
          <w:rFonts w:ascii="DM Sans" w:hAnsi="DM Sans"/>
          <w:sz w:val="18"/>
          <w:szCs w:val="18"/>
        </w:rPr>
        <w:t xml:space="preserve"> 2024</w:t>
      </w:r>
      <w:r w:rsidRPr="008C7EFA">
        <w:rPr>
          <w:rFonts w:ascii="DM Sans" w:hAnsi="DM Sans"/>
          <w:sz w:val="18"/>
          <w:szCs w:val="18"/>
        </w:rPr>
        <w:fldChar w:fldCharType="end"/>
      </w:r>
    </w:p>
  </w:footnote>
  <w:footnote w:id="55">
    <w:p w14:paraId="02CC9EE6"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{"citationID":"a11oc1o1cv9","properties":{"formattedCitation":"Our Watch and Women with Disabilities Victoria, {\\i{}Changing the Landscape: A National Resource to Prevent Violence against Women and Girls with Disabilities}; Letico, \\uc0\\u8220{}Deaf Women Are Twice as Likely to Experience Domestic Violence. How Perpetrators Weaponise Disability.\\uc0\\u8221{}","plainCitation":"Our Watch and Women with Disabilities Victoria, Changing the Landscape: A National Resource to Prevent Violence against Women and Girls with Disabilities; Letico, “Deaf Women Are Twice as Likely to Experience Domestic Violence. How Perpetrators Weaponise Disability.”","noteIndex":56},"citationItems":[{"id":396,"uris":["http://zotero.org/users/local/OX3UTt8z/items/W8Q85Y86"],"itemData":{"id":396,"type":"report","publisher":"Our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Victoria"}],"issued":{"date-parts":[["2022"]]}}},{"id":454,"uris":["http://zotero.org/users/local/OX3UTt8z/items/6GDX3RSW"],"itemData":{"id":454,"type":"webpage","container-title":"Victoria University, Australia","title":"Deaf women are twice as likely to experience domestic violence. How perpetrators weaponise disability","URL":"https://www.vu.edu.au/about-vu/news-events/news/deaf-women-are-twice-as-likely-to-experience-domestic-violence-how-perpetrators-weaponise-disability","author":[{"family":"Letico","given":"V."}],"issued":{"date-parts":[["2024",7,12]]}}}],"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 xml:space="preserve">Our Watch and Women with Disabilities Victoria 2022; </w:t>
      </w:r>
      <w:proofErr w:type="spellStart"/>
      <w:r w:rsidRPr="008C7EFA">
        <w:rPr>
          <w:rFonts w:ascii="DM Sans" w:hAnsi="DM Sans"/>
          <w:sz w:val="18"/>
          <w:szCs w:val="18"/>
        </w:rPr>
        <w:t>Letico</w:t>
      </w:r>
      <w:proofErr w:type="spellEnd"/>
      <w:r w:rsidRPr="008C7EFA">
        <w:rPr>
          <w:rFonts w:ascii="DM Sans" w:hAnsi="DM Sans"/>
          <w:sz w:val="18"/>
          <w:szCs w:val="18"/>
        </w:rPr>
        <w:t xml:space="preserve"> 2024</w:t>
      </w:r>
      <w:r w:rsidRPr="008C7EFA">
        <w:rPr>
          <w:rFonts w:ascii="DM Sans" w:hAnsi="DM Sans"/>
          <w:sz w:val="18"/>
          <w:szCs w:val="18"/>
        </w:rPr>
        <w:fldChar w:fldCharType="end"/>
      </w:r>
    </w:p>
  </w:footnote>
  <w:footnote w:id="56">
    <w:p w14:paraId="7EF89BF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color w:val="000000"/>
          <w:sz w:val="18"/>
          <w:szCs w:val="18"/>
        </w:rPr>
        <w:fldChar w:fldCharType="begin"/>
      </w:r>
      <w:r w:rsidRPr="008C7EFA">
        <w:rPr>
          <w:rFonts w:ascii="DM Sans" w:hAnsi="DM Sans"/>
          <w:color w:val="000000"/>
          <w:sz w:val="18"/>
          <w:szCs w:val="18"/>
        </w:rPr>
        <w:instrText xml:space="preserve"> ADDIN ZOTERO_ITEM CSL_CITATION {"citationID":"a2c3plot7fd","properties":{"formattedCitation":"Our Watch and Women with Disabilities Victoria, {\\i{}Changing the Landscape: A National Resource to Prevent Violence against Women and Girls with Disabilities}; Australian Institute of Health and Welfare, \\uc0\\u8220{}People with Disability - Family, Domestic and Sexual Violence.\\uc0\\u8221{}","plainCitation":"Our Watch and Women with Disabilities Victoria, Changing the Landscape: A National Resource to Prevent Violence against Women and Girls with Disabilities; Australian Institute of Health and Welfare, “People with Disability - Family, Domestic and Sexual Violence.”","noteIndex":57},"citationItems":[{"id":396,"uris":["http://zotero.org/users/local/OX3UTt8z/items/W8Q85Y86"],"itemData":{"id":396,"type":"report","publisher":"Our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Victoria"}],"issued":{"date-parts":[["2022"]]}}},{"id":445,"uris":["http://zotero.org/users/local/OX3UTt8z/items/ZGND6J5L"],"itemData":{"id":445,"type":"webpage","container-title":"AIHW","title":"People with disability - Family, domestic and sexual violence","URL":"https://www.aihw.gov.au/family-domestic-and-sexual-violence/population-groups/people-with-disability","author":[{"literal":"Australian Institute of Health and Welfare"}],"issued":{"date-parts":[["2023"]]}}}],"schema":"https://github.com/citation-style-language/schema/raw/master/csl-citation.json"} </w:instrText>
      </w:r>
      <w:r w:rsidRPr="008C7EFA">
        <w:rPr>
          <w:rFonts w:ascii="DM Sans" w:hAnsi="DM Sans"/>
          <w:color w:val="000000"/>
          <w:sz w:val="18"/>
          <w:szCs w:val="18"/>
        </w:rPr>
        <w:fldChar w:fldCharType="separate"/>
      </w:r>
      <w:r w:rsidRPr="008C7EFA">
        <w:rPr>
          <w:rFonts w:ascii="DM Sans" w:hAnsi="DM Sans"/>
          <w:sz w:val="18"/>
          <w:szCs w:val="18"/>
        </w:rPr>
        <w:t>Our Watch and Women with Disabilities Victoria 2022; Australian Institute of Health and Welfare 2023</w:t>
      </w:r>
      <w:r w:rsidRPr="008C7EFA">
        <w:rPr>
          <w:rFonts w:ascii="DM Sans" w:hAnsi="DM Sans"/>
          <w:color w:val="000000"/>
          <w:sz w:val="18"/>
          <w:szCs w:val="18"/>
        </w:rPr>
        <w:fldChar w:fldCharType="end"/>
      </w:r>
    </w:p>
  </w:footnote>
  <w:footnote w:id="57">
    <w:p w14:paraId="22845EB3"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color w:val="000000"/>
          <w:sz w:val="18"/>
          <w:szCs w:val="18"/>
        </w:rPr>
        <w:fldChar w:fldCharType="begin"/>
      </w:r>
      <w:r w:rsidRPr="008C7EFA">
        <w:rPr>
          <w:rFonts w:ascii="DM Sans" w:hAnsi="DM Sans"/>
          <w:color w:val="000000"/>
          <w:sz w:val="18"/>
          <w:szCs w:val="18"/>
        </w:rPr>
        <w:instrText xml:space="preserve"> ADDIN ZOTERO_ITEM CSL_CITATION {"citationID":"ao8j85srlp","properties":{"formattedCitation":"Royal Commission into Violence, Abuse, Neglect and Exploitation of People with Disability, {\\i{}Final Report}.","plainCitation":"Royal Commission into Violence, Abuse, Neglect and Exploitation of People with Disability, Final Report.","noteIndex":58},"citationItems":[{"id":437,"uris":["http://zotero.org/users/local/OX3UTt8z/items/3JTNURHL"],"itemData":{"id":437,"type":"report","abstract":"Violence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color w:val="000000"/>
          <w:sz w:val="18"/>
          <w:szCs w:val="18"/>
        </w:rPr>
        <w:fldChar w:fldCharType="separate"/>
      </w:r>
      <w:r w:rsidRPr="008C7EFA">
        <w:rPr>
          <w:rFonts w:ascii="DM Sans" w:hAnsi="DM Sans"/>
          <w:sz w:val="18"/>
          <w:szCs w:val="18"/>
        </w:rPr>
        <w:t>Royal Commission 2023</w:t>
      </w:r>
      <w:r w:rsidRPr="008C7EFA">
        <w:rPr>
          <w:rFonts w:ascii="DM Sans" w:hAnsi="DM Sans"/>
          <w:color w:val="000000"/>
          <w:sz w:val="18"/>
          <w:szCs w:val="18"/>
        </w:rPr>
        <w:fldChar w:fldCharType="end"/>
      </w:r>
    </w:p>
  </w:footnote>
  <w:footnote w:id="58">
    <w:p w14:paraId="4B31CF45"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color w:val="000000"/>
          <w:sz w:val="18"/>
          <w:szCs w:val="18"/>
        </w:rPr>
        <w:fldChar w:fldCharType="begin"/>
      </w:r>
      <w:r w:rsidRPr="008C7EFA">
        <w:rPr>
          <w:rFonts w:ascii="DM Sans" w:hAnsi="DM Sans"/>
          <w:color w:val="000000"/>
          <w:sz w:val="18"/>
          <w:szCs w:val="18"/>
        </w:rPr>
        <w:instrText xml:space="preserve"> ADDIN ZOTERO_ITEM CSL_CITATION {"citationID":"a1sr0ulpq19","properties":{"formattedCitation":"Our Watch and Women with Disabilities Victoria, {\\i{}Changing the Landscape: A National Resource to Prevent Violence against Women and Girls with Disabilities}; Royal Commission into Violence, Abuse, Neglect and Exploitation of People with Disability, {\\i{}Final Report}.","plainCitation":"Our Watch and Women with Disabilities Victoria, Changing the Landscape: A National Resource to Prevent Violence against Women and Girls with Disabilities; Royal Commission into Violence, Abuse, Neglect and Exploitation of People with Disability, Final Report.","noteIndex":59},"citationItems":[{"id":396,"uris":["http://zotero.org/users/local/OX3UTt8z/items/W8Q85Y86"],"itemData":{"id":396,"type":"report","publisher":"Our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Disability"}],"issued":{"date-parts":[["2023"]]}}}],"schema":"https://github.com/citation-style-language/schema/raw/master/csl-citation.json"} </w:instrText>
      </w:r>
      <w:r w:rsidRPr="008C7EFA">
        <w:rPr>
          <w:rFonts w:ascii="DM Sans" w:hAnsi="DM Sans"/>
          <w:color w:val="000000"/>
          <w:sz w:val="18"/>
          <w:szCs w:val="18"/>
        </w:rPr>
        <w:fldChar w:fldCharType="separate"/>
      </w:r>
      <w:r w:rsidRPr="008C7EFA">
        <w:rPr>
          <w:rFonts w:ascii="DM Sans" w:hAnsi="DM Sans"/>
          <w:sz w:val="18"/>
          <w:szCs w:val="18"/>
        </w:rPr>
        <w:t>Our Watch and Women with Disabilities Victoria 2022; Royal Commission 2023</w:t>
      </w:r>
      <w:r w:rsidRPr="008C7EFA">
        <w:rPr>
          <w:rFonts w:ascii="DM Sans" w:hAnsi="DM Sans"/>
          <w:color w:val="000000"/>
          <w:sz w:val="18"/>
          <w:szCs w:val="18"/>
        </w:rPr>
        <w:fldChar w:fldCharType="end"/>
      </w:r>
    </w:p>
  </w:footnote>
  <w:footnote w:id="59">
    <w:p w14:paraId="50E96687"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color w:val="000000"/>
          <w:sz w:val="18"/>
          <w:szCs w:val="18"/>
        </w:rPr>
        <w:fldChar w:fldCharType="begin"/>
      </w:r>
      <w:r w:rsidRPr="008C7EFA">
        <w:rPr>
          <w:rFonts w:ascii="DM Sans" w:hAnsi="DM Sans"/>
          <w:color w:val="000000"/>
          <w:sz w:val="18"/>
          <w:szCs w:val="18"/>
        </w:rPr>
        <w:instrText xml:space="preserve"> ADDIN ZOTERO_ITEM CSL_CITATION {"citationID":"a2l2r6a488h","properties":{"formattedCitation":"Maher et al., {\\i{}Women, Disability and Violence}; Royal Commission into Violence, Abuse, Neglect and Exploitation of People with Disability, {\\i{}Final Report}; Dowse et al., \\uc0\\u8220{}Mind the Gap.\\uc0\\u8221{}","plainCitation":"Maher et al., Women, Disability and Violence; Royal Commission into Violence, Abuse, Neglect and Exploitation of People with Disability, Final Report; Dowse et al., “Mind the Gap.”","noteIndex":60},"citationItems":[{"id":453,"uris":["http://zotero.org/users/local/OX3UTt8z/items/CK9JLNCD"],"itemData":{"id":453,"type":"book","abstract":"This report explores how women with disability seek justice, redress, and support after experiencing violence - particularly sexual assault and intimate partner violence - and the pathways and barriers they encounter. It also examines how these women position and interpret experiences of violence in relation to their disability, the mechanisms and factors that lead to incidences of violence being reported, and their experiences of the service and justice systems. It draws on a small study with 36 women and 18 service providers in New South Wales and Victoria. The key findings for policy and practice are also discussed","event-place":"Sydney","ISBN":"978-1-925372-75-5","language":"eng","note":"OCLC: 1032597196","publisher":"ANROWS","publisher-place":"Sydney","source":"Open WorldCat","title":"Women, disability and violence: barriers to accessing justice : final report","title-short":"Women, disability and violence","author":[{"family":"Maher","given":"JaneMaree"},{"family":"Spivakovsky","given":"Claire"},{"family":"McCulloch","given":"Jude"},{"family":"McGowan","given":"Jasmine"},{"family":"Beavis","given":"Kara"},{"family":"Lea","given":"Meredith"},{"family":"Cadwallader","given":"Jess"},{"family":"Sands","given":"Therese"}],"issued":{"date-parts":[["2018"]]}}},{"id":437,"uris":["http://zotero.org/users/local/OX3UTt8z/items/3JTNURHL"],"itemData":{"id":437,"type":"report","abstract":"Violence against, and abuse, neglect and exploitation of, people with disability in Australia occur in multiple forms and affect almost every aspect of many people's lives. This volume of our Final report provides an account of the nature and extent of the violence, abuse, neglect and exploitation people with disability experience in different settings and contexts and across their different life stages. It sets out what occurs in people's homes and other residences, at school, at work, while socialising, when going about everyday life and when engaging with services and supports. It examines violence, abuse, neglect and exploitation perpetrated by individuals and resulting from systemic and structural barriers, practices and failures. It illustrates how this can alter the life trajectories of people with disability and affect their life outcomes; and what this costs both people with disability and Australian society more generally","event-place":"Sydney","language":"en","note":"OCLC: 1405413671","publisher":"Royal Commission into Violence, Abuse, Neglect &amp; Exploitation of People with Disability","publisher-place":"Sydney","source":"Open WorldCat","title":"Final report: Volume 3: nature and extent of violence, abuse, neglect and exploitation","title-short":"Final report","URL":"https://disability.royalcommission.gov.au/system/files/2023-09","author":[{"literal":"Royal Commission into Violence, Abuse, Neglect and Exploitation of People with Disability"}],"issued":{"date-parts":[["2023"]]}}},{"id":581,"uris":["http://zotero.org/users/local/OX3UTt8z/items/3S4VXSM7"],"itemData":{"id":581,"type":"article-journal","abstract":"Abstract\n            A comprehensive national response to violence against women with disabilities is long overdue in Australia. Work to date suggests that the issue is endemic yet largely invisible. Responses at the national level are hampered by the lack of information regarding violence against women with disabilities due to under</w:instrText>
      </w:r>
      <w:r w:rsidRPr="008C7EFA">
        <w:rPr>
          <w:rFonts w:ascii="Cambria Math" w:hAnsi="Cambria Math" w:cs="Cambria Math"/>
          <w:color w:val="000000"/>
          <w:sz w:val="18"/>
          <w:szCs w:val="18"/>
        </w:rPr>
        <w:instrText>‐</w:instrText>
      </w:r>
      <w:r w:rsidRPr="008C7EFA">
        <w:rPr>
          <w:rFonts w:ascii="DM Sans" w:hAnsi="DM Sans"/>
          <w:color w:val="000000"/>
          <w:sz w:val="18"/>
          <w:szCs w:val="18"/>
        </w:rPr>
        <w:instrText xml:space="preserve">reporting and inadequate capture of the prevalence of this violence. This article explores approaches to collecting data regarding violence against women with disabilities in Australia and adds to the limited body of knowledge about the prevalence of violence for these women through interrogation of available data. Further analysis of the 2012 Personal Safety Survey data indicates that among women with disabilities aged under 50, 62 per cent have experienced violence since the age of 15, and women with disabilities had experienced three times the rate of sexual violence in the past 12 months compared to those without disabilities. These findings still do not represent the full extent of violence against women with disabilities, since the Personal Safety Survey samples only women who reside in private dwellings and excludes those living in disability care settings. Insight is offered as to what is needed to comprehensively capture the required data and the implications for policy.","container-title":"Australian Journal of Social Issues","DOI":"10.1002/j.1839-4655.2016.tb01235.x","ISSN":"0157-6321, 1839-4655","issue":"3","journalAbbreviation":"Aust J Social Issues","language":"en","license":"http://onlinelibrary.wiley.com/termsAndConditions#vor","page":"341-359","source":"DOI.org (Crossref)","title":"Mind the gap: the extent of violence against women with disabilities in Australia","title-short":"Mind the gap","volume":"51","author":[{"family":"Dowse","given":"Leanne"},{"family":"Soldatic","given":"Karen"},{"family":"Spangaro","given":"Jo"},{"family":"Van Toorn","given":"Georgia"}],"issued":{"date-parts":[["2016",10]]}}}],"schema":"https://github.com/citation-style-language/schema/raw/master/csl-citation.json"} </w:instrText>
      </w:r>
      <w:r w:rsidRPr="008C7EFA">
        <w:rPr>
          <w:rFonts w:ascii="DM Sans" w:hAnsi="DM Sans"/>
          <w:color w:val="000000"/>
          <w:sz w:val="18"/>
          <w:szCs w:val="18"/>
        </w:rPr>
        <w:fldChar w:fldCharType="separate"/>
      </w:r>
      <w:r w:rsidRPr="008C7EFA">
        <w:rPr>
          <w:rFonts w:ascii="DM Sans" w:hAnsi="DM Sans"/>
          <w:sz w:val="18"/>
          <w:szCs w:val="18"/>
        </w:rPr>
        <w:t>Maher et al. 2018; Royal Commission 2023; Dowse et al. 2016</w:t>
      </w:r>
      <w:r w:rsidRPr="008C7EFA">
        <w:rPr>
          <w:rFonts w:ascii="DM Sans" w:hAnsi="DM Sans"/>
          <w:color w:val="000000"/>
          <w:sz w:val="18"/>
          <w:szCs w:val="18"/>
        </w:rPr>
        <w:fldChar w:fldCharType="end"/>
      </w:r>
    </w:p>
  </w:footnote>
  <w:footnote w:id="60">
    <w:p w14:paraId="250F286E"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{"citationID":"ae9qanshuv","properties":{"formattedCitation":"Krnjacki et al., \\uc0\\u8220{}Prevalence and Risk of Violence against People with and without Disabilities: Findings from an Australian Population-Based Study.\\uc0\\u8221{}","plainCitation":"Krnjacki et al., “Prevalence and Risk of Violence against People with and without Disabilities: Findings from an Australian Population-Based Study.”","noteIndex":61},"citationItems":[{"id":392,"uris":["http://zotero.org/users/local/OX3UTt8z/items/HQG7669S"],"itemData":{"id":392,"type":"article-journal","container-title":"Australian and New Zealand Journal of Public Health","DOI":"10.1111/1753-6405.12498","issue":"1","journalAbbreviation":"Australian and New Zealand Journal of Public Health","page":"16-21","title":"Prevalence and risk of violence against people with and without disabilities: findings from an Australian population-based study","volume":"40","author":[{"family":"Krnjacki","given":"L."},{"family":"Emerson","given":"E."},{"family":"Llewellyn","given":"G."},{"family":"Kavanagh","given":"A. M."}],"issued":{"date-parts":[["2016"]]}}}],"schema":"https://github.com/citation-style-language/schema/raw/master/csl-citation.json"} </w:instrText>
      </w:r>
      <w:r w:rsidRPr="008C7EFA">
        <w:rPr>
          <w:rFonts w:ascii="DM Sans" w:hAnsi="DM Sans"/>
          <w:sz w:val="18"/>
          <w:szCs w:val="18"/>
        </w:rPr>
        <w:fldChar w:fldCharType="separate"/>
      </w:r>
      <w:proofErr w:type="spellStart"/>
      <w:r w:rsidRPr="008C7EFA">
        <w:rPr>
          <w:rFonts w:ascii="DM Sans" w:hAnsi="DM Sans"/>
          <w:sz w:val="18"/>
          <w:szCs w:val="18"/>
        </w:rPr>
        <w:t>Krnjacki</w:t>
      </w:r>
      <w:proofErr w:type="spellEnd"/>
      <w:r w:rsidRPr="008C7EFA">
        <w:rPr>
          <w:rFonts w:ascii="DM Sans" w:hAnsi="DM Sans"/>
          <w:sz w:val="18"/>
          <w:szCs w:val="18"/>
        </w:rPr>
        <w:t xml:space="preserve"> et al. 2016</w:t>
      </w:r>
      <w:r w:rsidRPr="008C7EFA">
        <w:rPr>
          <w:rFonts w:ascii="DM Sans" w:hAnsi="DM Sans"/>
          <w:sz w:val="18"/>
          <w:szCs w:val="18"/>
        </w:rPr>
        <w:fldChar w:fldCharType="end"/>
      </w:r>
    </w:p>
  </w:footnote>
  <w:footnote w:id="61">
    <w:p w14:paraId="518EC034"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{"citationID":"ajue2spr9j","properties":{"formattedCitation":"Our Watch and Women with Disabilities Victoria, {\\i{}Changing the Landscape: A National Resource to Prevent Violence against Women and Girls with Disabilities}; Krnjacki et al., \\uc0\\u8220{}Prevalence and Risk of Violence against People with and without Disabilities: Findings from an Australian Population-Based Study\\uc0\\u8221{}; B. Harris and D. Woodlock, {\\i{}\\uc0\\u8220{}For My Safety\\uc0\\u8221{}: Experiences of Technology-Facilitated Abuse among Women with Intellectual Disability or Cognitive Disability} (eSafety Commissioner, 2021), https://www.esafety.gov.au/sites/default/files/2021-09/TFA%20WWICD_accessible.pdf.","plainCitation":"Our Watch and Women with Disabilities Victoria, Changing the Landscape: A National Resource to Prevent Violence against Women and Girls with Disabilities; Krnjacki et al., “Prevalence and Risk of Violence against People with and without Disabilities: Findings from an Australian Population-Based Study”; B. Harris and D. Woodlock, “For My Safety”: Experiences of Technology-Facilitated Abuse among Women with Intellectual Disability or Cognitive Disability (eSafety Commissioner, 2021), https://www.esafety.gov.au/sites/default/files/2021-09/TFA%20WWICD_accessible.pdf.","noteIndex":62},"citationItems":[{"id":396,"uris":["http://zotero.org/users/local/OX3UTt8z/items/W8Q85Y86"],"itemData":{"id":396,"type":"report","publisher":"Our Watch","title":"Changing the landscape: A national resource to prevent violence against women and girls with disabilities","author":[{"literal":"Our Watch"},{"literal":"Women with Disabilities Victoria"}],"issued":{"date-parts":[["2022"]]}}},{"id":392,"uris":["http://zotero.org/users/local/OX3UTt8z/items/HQG7669S"],"itemData":{"id":392,"type":"article-journal","container-title":"Australian and New Zealand Journal of Public Health","DOI":"10.1111/1753-6405.12498","issue":"1","journalAbbreviation":"Australian and New Zealand Journal of Public Health","page":"16-21","title":"Prevalence and risk of violence against people with and without disabilities: findings from an Australian population-based study","volume":"40","author":[{"family":"Krnjacki","given":"L."},{"family":"Emerson","given":"E."},{"family":"Llewellyn","given":"G."},{"family":"Kavanagh","given":"A. M."}],"issued":{"date-parts":[["2016"]]}}},{"id":416,"uris":["http://zotero.org/users/local/OX3UTt8z/items/S7CARMAB"],"itemData":{"id":416,"type":"report","event-place":"Sydney","publisher":"eSafety Commissioner","publisher-place":"Sydney","title":"'For my safety': Experiences of technology-facilitated abuse among women with intellectual disability or cognitive disability","URL":"https://www.esafety.gov.au/sites/default/files/2021-09/TFA%20WWICD_accessible.pdf","author":[{"family":"Harris","given":"B."},{"family":"Woodlock","given":"D."}],"issued":{"date-parts":[["2021"]]}}}],"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 xml:space="preserve">Our Watch and Women with Disabilities Victoria 2022; </w:t>
      </w:r>
      <w:proofErr w:type="spellStart"/>
      <w:r w:rsidRPr="008C7EFA">
        <w:rPr>
          <w:rFonts w:ascii="DM Sans" w:hAnsi="DM Sans"/>
          <w:sz w:val="18"/>
          <w:szCs w:val="18"/>
        </w:rPr>
        <w:t>Krnjacki</w:t>
      </w:r>
      <w:proofErr w:type="spellEnd"/>
      <w:r w:rsidRPr="008C7EFA">
        <w:rPr>
          <w:rFonts w:ascii="DM Sans" w:hAnsi="DM Sans"/>
          <w:sz w:val="18"/>
          <w:szCs w:val="18"/>
        </w:rPr>
        <w:t xml:space="preserve"> et al. 2016; Harris and Woodlock 2021</w:t>
      </w:r>
      <w:r w:rsidRPr="008C7EFA">
        <w:rPr>
          <w:rFonts w:ascii="DM Sans" w:hAnsi="DM Sans"/>
          <w:sz w:val="18"/>
          <w:szCs w:val="18"/>
        </w:rPr>
        <w:fldChar w:fldCharType="end"/>
      </w:r>
    </w:p>
  </w:footnote>
  <w:footnote w:id="62">
    <w:p w14:paraId="6C70663A"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{"citationID":"a1ag2kuh89i","properties":{"formattedCitation":"Harris and Woodlock, {\\i{}\\uc0\\u8220{}For My Safety\\uc0\\u8221{}: Experiences of Technology-Facilitated Abuse among Women with Intellectual Disability or Cognitive Disability}.","plainCitation":"Harris and Woodlock, “For My Safety”: Experiences of Technology-Facilitated Abuse among Women with Intellectual Disability or Cognitive Disability.","noteIndex":63},"citationItems":[{"id":416,"uris":["http://zotero.org/users/local/OX3UTt8z/items/S7CARMAB"],"itemData":{"id":416,"type":"report","event-place":"Sydney","publisher":"eSafety Commissioner","publisher-place":"Sydney","title":"'For my safety': Experiences of technology-facilitated abuse among women with intellectual disability or cognitive disability","URL":"https://www.esafety.gov.au/sites/default/files/2021-09/TFA%20WWICD_accessible.pdf","author":[{"family":"Harris","given":"B."},{"family":"Woodlock","given":"D."}],"issued":{"date-parts":[["2021"]]}}}],"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Harris and Woodlock 2021</w:t>
      </w:r>
      <w:r w:rsidRPr="008C7EFA">
        <w:rPr>
          <w:rFonts w:ascii="DM Sans" w:hAnsi="DM Sans"/>
          <w:sz w:val="18"/>
          <w:szCs w:val="18"/>
        </w:rPr>
        <w:fldChar w:fldCharType="end"/>
      </w:r>
    </w:p>
  </w:footnote>
  <w:footnote w:id="63">
    <w:p w14:paraId="2F0EA905" w14:textId="77777777" w:rsidR="008C7EFA" w:rsidRPr="008C7EFA" w:rsidRDefault="008C7EFA" w:rsidP="008C7EFA">
      <w:pPr>
        <w:pStyle w:val="FootnoteText"/>
        <w:rPr>
          <w:rFonts w:ascii="DM Sans" w:hAnsi="DM Sans"/>
          <w:sz w:val="18"/>
          <w:szCs w:val="18"/>
          <w:lang w:val="en-US"/>
        </w:rPr>
      </w:pPr>
      <w:r w:rsidRPr="008C7EFA">
        <w:rPr>
          <w:rStyle w:val="FootnoteReference"/>
          <w:rFonts w:ascii="DM Sans" w:hAnsi="DM Sans"/>
        </w:rPr>
        <w:footnoteRef/>
      </w:r>
      <w:r w:rsidRPr="008C7EFA">
        <w:rPr>
          <w:rFonts w:ascii="DM Sans" w:hAnsi="DM Sans"/>
          <w:sz w:val="18"/>
          <w:szCs w:val="18"/>
        </w:rPr>
        <w:t xml:space="preserve"> </w:t>
      </w:r>
      <w:r w:rsidRPr="008C7EFA">
        <w:rPr>
          <w:rFonts w:ascii="DM Sans" w:hAnsi="DM Sans"/>
          <w:sz w:val="18"/>
          <w:szCs w:val="18"/>
        </w:rPr>
        <w:fldChar w:fldCharType="begin"/>
      </w:r>
      <w:r w:rsidRPr="008C7EFA">
        <w:rPr>
          <w:rFonts w:ascii="DM Sans" w:hAnsi="DM Sans"/>
          <w:sz w:val="18"/>
          <w:szCs w:val="18"/>
        </w:rPr>
        <w:instrText xml:space="preserve"> ADDIN ZOTERO_ITEM CSL_CITATION {"citationID":"alclq3m2e0","properties":{"formattedCitation":"Harris and Woodlock, {\\i{}\\uc0\\u8220{}For My Safety\\uc0\\u8221{}: Experiences of Technology-Facilitated Abuse among Women with Intellectual Disability or Cognitive Disability}.","plainCitation":"Harris and Woodlock, “For My Safety”: Experiences of Technology-Facilitated Abuse among Women with Intellectual Disability or Cognitive Disability.","noteIndex":64},"citationItems":[{"id":416,"uris":["http://zotero.org/users/local/OX3UTt8z/items/S7CARMAB"],"itemData":{"id":416,"type":"report","event-place":"Sydney","publisher":"eSafety Commissioner","publisher-place":"Sydney","title":"'For my safety': Experiences of technology-facilitated abuse among women with intellectual disability or cognitive disability","URL":"https://www.esafety.gov.au/sites/default/files/2021-09/TFA%20WWICD_accessible.pdf","author":[{"family":"Harris","given":"B."},{"family":"Woodlock","given":"D."}],"issued":{"date-parts":[["2021"]]}}}],"schema":"https://github.com/citation-style-language/schema/raw/master/csl-citation.json"} </w:instrText>
      </w:r>
      <w:r w:rsidRPr="008C7EFA">
        <w:rPr>
          <w:rFonts w:ascii="DM Sans" w:hAnsi="DM Sans"/>
          <w:sz w:val="18"/>
          <w:szCs w:val="18"/>
        </w:rPr>
        <w:fldChar w:fldCharType="separate"/>
      </w:r>
      <w:r w:rsidRPr="008C7EFA">
        <w:rPr>
          <w:rFonts w:ascii="DM Sans" w:hAnsi="DM Sans"/>
          <w:sz w:val="18"/>
          <w:szCs w:val="18"/>
        </w:rPr>
        <w:t>Harris and Woodlock 2021</w:t>
      </w:r>
      <w:r w:rsidRPr="008C7EFA">
        <w:rPr>
          <w:rFonts w:ascii="DM Sans" w:hAnsi="DM Sans"/>
          <w:sz w:val="18"/>
          <w:szCs w:val="18"/>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1EED" w14:textId="77777777" w:rsidR="00C733A8" w:rsidRDefault="000E6684">
    <w:pPr>
      <w:pStyle w:val="Header"/>
    </w:pPr>
    <w:r>
      <w:rPr>
        <w:noProof/>
        <w:lang w:eastAsia="en-AU"/>
      </w:rPr>
      <w:drawing>
        <wp:anchor distT="0" distB="0" distL="114300" distR="114300" simplePos="0" relativeHeight="251662336" behindDoc="0" locked="0" layoutInCell="1" allowOverlap="1" wp14:anchorId="67DF1135" wp14:editId="73A41516">
          <wp:simplePos x="0" y="0"/>
          <wp:positionH relativeFrom="column">
            <wp:posOffset>7580012</wp:posOffset>
          </wp:positionH>
          <wp:positionV relativeFrom="paragraph">
            <wp:posOffset>-556260</wp:posOffset>
          </wp:positionV>
          <wp:extent cx="1825498" cy="606844"/>
          <wp:effectExtent l="0" t="0" r="0" b="0"/>
          <wp:wrapNone/>
          <wp:docPr id="1124226105" name="Picture 112422610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a:picLocks noChangeAspect="1" noChangeArrowheads="1"/>
                  </pic:cNvPicPr>
                </pic:nvPicPr>
                <pic:blipFill>
                  <a:blip r:embed="rId1"/>
                  <a:stretch>
                    <a:fillRect/>
                  </a:stretch>
                </pic:blipFill>
                <pic:spPr bwMode="auto">
                  <a:xfrm>
                    <a:off x="0" y="0"/>
                    <a:ext cx="1825498" cy="6068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12F8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01CC9"/>
    <w:multiLevelType w:val="multilevel"/>
    <w:tmpl w:val="0358AF78"/>
    <w:styleLink w:val="Style2"/>
    <w:lvl w:ilvl="0">
      <w:start w:val="1"/>
      <w:numFmt w:val="decimal"/>
      <w:lvlText w:val="%1."/>
      <w:lvlJc w:val="left"/>
      <w:pPr>
        <w:ind w:left="357" w:hanging="357"/>
      </w:pPr>
      <w:rPr>
        <w:rFonts w:hint="default"/>
        <w:color w:val="7800FF"/>
      </w:rPr>
    </w:lvl>
    <w:lvl w:ilvl="1">
      <w:start w:val="1"/>
      <w:numFmt w:val="lowerLetter"/>
      <w:lvlText w:val="%2."/>
      <w:lvlJc w:val="left"/>
      <w:pPr>
        <w:ind w:left="1077" w:hanging="357"/>
      </w:pPr>
      <w:rPr>
        <w:rFonts w:hint="default"/>
        <w:color w:val="7800FF"/>
      </w:rPr>
    </w:lvl>
    <w:lvl w:ilvl="2">
      <w:start w:val="1"/>
      <w:numFmt w:val="lowerRoman"/>
      <w:lvlText w:val="%3."/>
      <w:lvlJc w:val="left"/>
      <w:pPr>
        <w:ind w:left="1797" w:hanging="357"/>
      </w:pPr>
      <w:rPr>
        <w:rFonts w:hint="default"/>
        <w:color w:val="7800FF"/>
      </w:rPr>
    </w:lvl>
    <w:lvl w:ilvl="3">
      <w:start w:val="1"/>
      <w:numFmt w:val="bullet"/>
      <w:lvlText w:val=""/>
      <w:lvlJc w:val="left"/>
      <w:pPr>
        <w:ind w:left="2517" w:hanging="357"/>
      </w:pPr>
      <w:rPr>
        <w:rFonts w:ascii="Symbol" w:hAnsi="Symbol" w:hint="default"/>
        <w:color w:val="7800FF"/>
      </w:rPr>
    </w:lvl>
    <w:lvl w:ilvl="4">
      <w:start w:val="1"/>
      <w:numFmt w:val="lowerLetter"/>
      <w:lvlText w:val="(%5)"/>
      <w:lvlJc w:val="left"/>
      <w:pPr>
        <w:ind w:left="3237" w:hanging="357"/>
      </w:pPr>
      <w:rPr>
        <w:rFonts w:hint="default"/>
        <w:color w:val="7800FF"/>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2" w15:restartNumberingAfterBreak="0">
    <w:nsid w:val="07B02943"/>
    <w:multiLevelType w:val="multilevel"/>
    <w:tmpl w:val="40601A92"/>
    <w:styleLink w:val="Style4"/>
    <w:lvl w:ilvl="0">
      <w:start w:val="1"/>
      <w:numFmt w:val="decimal"/>
      <w:lvlText w:val="%1."/>
      <w:lvlJc w:val="left"/>
      <w:pPr>
        <w:ind w:left="357" w:hanging="357"/>
      </w:pPr>
      <w:rPr>
        <w:rFonts w:hint="default"/>
        <w:color w:val="FD4F00"/>
      </w:rPr>
    </w:lvl>
    <w:lvl w:ilvl="1">
      <w:start w:val="1"/>
      <w:numFmt w:val="lowerLetter"/>
      <w:lvlText w:val="%2"/>
      <w:lvlJc w:val="left"/>
      <w:pPr>
        <w:ind w:left="1077" w:hanging="357"/>
      </w:pPr>
      <w:rPr>
        <w:rFonts w:ascii="Arial" w:hAnsi="Arial" w:hint="default"/>
        <w:b w:val="0"/>
        <w:i w:val="0"/>
        <w:color w:val="FD4F00"/>
      </w:rPr>
    </w:lvl>
    <w:lvl w:ilvl="2">
      <w:start w:val="1"/>
      <w:numFmt w:val="lowerRoman"/>
      <w:lvlText w:val="%3"/>
      <w:lvlJc w:val="left"/>
      <w:pPr>
        <w:ind w:left="1797" w:hanging="357"/>
      </w:pPr>
      <w:rPr>
        <w:rFonts w:hint="default"/>
        <w:color w:val="FD4F00"/>
      </w:rPr>
    </w:lvl>
    <w:lvl w:ilvl="3">
      <w:start w:val="1"/>
      <w:numFmt w:val="bullet"/>
      <w:lvlText w:val=""/>
      <w:lvlJc w:val="left"/>
      <w:pPr>
        <w:ind w:left="2517" w:hanging="357"/>
      </w:pPr>
      <w:rPr>
        <w:rFonts w:ascii="Symbol" w:hAnsi="Symbol" w:hint="default"/>
        <w:color w:val="FD4F00"/>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3" w15:restartNumberingAfterBreak="0">
    <w:nsid w:val="0A883741"/>
    <w:multiLevelType w:val="multilevel"/>
    <w:tmpl w:val="DB0264D4"/>
    <w:lvl w:ilvl="0">
      <w:start w:val="1"/>
      <w:numFmt w:val="decimal"/>
      <w:lvlText w:val="%1."/>
      <w:lvlJc w:val="left"/>
      <w:pPr>
        <w:ind w:left="357" w:hanging="357"/>
      </w:pPr>
      <w:rPr>
        <w:rFonts w:ascii="Arial" w:hAnsi="Arial" w:hint="default"/>
        <w:color w:val="7800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4" w15:restartNumberingAfterBreak="0">
    <w:nsid w:val="0E9D3F39"/>
    <w:multiLevelType w:val="multilevel"/>
    <w:tmpl w:val="77206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F1056"/>
    <w:multiLevelType w:val="multilevel"/>
    <w:tmpl w:val="9E4C5A8A"/>
    <w:styleLink w:val="Style1"/>
    <w:lvl w:ilvl="0">
      <w:start w:val="1"/>
      <w:numFmt w:val="decimal"/>
      <w:lvlText w:val="%1."/>
      <w:lvlJc w:val="left"/>
      <w:pPr>
        <w:ind w:left="357" w:hanging="357"/>
      </w:pPr>
      <w:rPr>
        <w:rFonts w:hint="default"/>
        <w:color w:val="FF79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6" w15:restartNumberingAfterBreak="0">
    <w:nsid w:val="13B54991"/>
    <w:multiLevelType w:val="multilevel"/>
    <w:tmpl w:val="1A9C469A"/>
    <w:lvl w:ilvl="0">
      <w:start w:val="1"/>
      <w:numFmt w:val="decimal"/>
      <w:lvlText w:val="%1."/>
      <w:lvlJc w:val="left"/>
      <w:rPr>
        <w:rFonts w:ascii="Arial" w:hAnsi="Arial" w:hint="default"/>
        <w:color w:val="7800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7" w15:restartNumberingAfterBreak="0">
    <w:nsid w:val="13FD7B7F"/>
    <w:multiLevelType w:val="hybridMultilevel"/>
    <w:tmpl w:val="29ECB824"/>
    <w:lvl w:ilvl="0" w:tplc="26725E02">
      <w:start w:val="1"/>
      <w:numFmt w:val="bullet"/>
      <w:lvlText w:val=""/>
      <w:lvlJc w:val="left"/>
      <w:pPr>
        <w:ind w:left="360" w:hanging="360"/>
      </w:pPr>
      <w:rPr>
        <w:rFonts w:ascii="Symbol" w:hAnsi="Symbol" w:hint="default"/>
        <w:color w:val="7800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8" w15:restartNumberingAfterBreak="0">
    <w:nsid w:val="164E662B"/>
    <w:multiLevelType w:val="multilevel"/>
    <w:tmpl w:val="74402280"/>
    <w:styleLink w:val="Style3"/>
    <w:lvl w:ilvl="0">
      <w:start w:val="1"/>
      <w:numFmt w:val="decimal"/>
      <w:lvlText w:val="%1."/>
      <w:lvlJc w:val="left"/>
      <w:pPr>
        <w:ind w:left="357" w:hanging="357"/>
      </w:pPr>
      <w:rPr>
        <w:rFonts w:ascii="Arial" w:hAnsi="Arial" w:hint="default"/>
        <w:color w:val="33B9FF"/>
      </w:rPr>
    </w:lvl>
    <w:lvl w:ilvl="1">
      <w:start w:val="1"/>
      <w:numFmt w:val="lowerLetter"/>
      <w:lvlText w:val="%2."/>
      <w:lvlJc w:val="left"/>
      <w:pPr>
        <w:ind w:left="1077" w:hanging="357"/>
      </w:pPr>
      <w:rPr>
        <w:rFonts w:hint="default"/>
        <w:color w:val="33B9FF"/>
      </w:rPr>
    </w:lvl>
    <w:lvl w:ilvl="2">
      <w:start w:val="1"/>
      <w:numFmt w:val="lowerRoman"/>
      <w:lvlText w:val="%3."/>
      <w:lvlJc w:val="left"/>
      <w:pPr>
        <w:ind w:left="1797" w:hanging="357"/>
      </w:pPr>
      <w:rPr>
        <w:rFonts w:hint="default"/>
        <w:color w:val="33B9FF"/>
      </w:rPr>
    </w:lvl>
    <w:lvl w:ilvl="3">
      <w:start w:val="1"/>
      <w:numFmt w:val="bullet"/>
      <w:lvlText w:val=""/>
      <w:lvlJc w:val="left"/>
      <w:pPr>
        <w:ind w:left="2517" w:hanging="357"/>
      </w:pPr>
      <w:rPr>
        <w:rFonts w:ascii="Symbol" w:hAnsi="Symbol" w:hint="default"/>
        <w:color w:val="33B9FF"/>
      </w:rPr>
    </w:lvl>
    <w:lvl w:ilvl="4">
      <w:start w:val="1"/>
      <w:numFmt w:val="lowerLetter"/>
      <w:lvlText w:val="(%5)"/>
      <w:lvlJc w:val="left"/>
      <w:pPr>
        <w:ind w:left="3237" w:hanging="357"/>
      </w:pPr>
      <w:rPr>
        <w:rFonts w:hint="default"/>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9" w15:restartNumberingAfterBreak="0">
    <w:nsid w:val="1A7778B8"/>
    <w:multiLevelType w:val="hybridMultilevel"/>
    <w:tmpl w:val="DB980EC6"/>
    <w:lvl w:ilvl="0" w:tplc="26725E02">
      <w:start w:val="1"/>
      <w:numFmt w:val="bullet"/>
      <w:lvlText w:val=""/>
      <w:lvlJc w:val="left"/>
      <w:rPr>
        <w:rFonts w:ascii="Symbol" w:hAnsi="Symbol" w:hint="default"/>
        <w:color w:val="7800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0" w15:restartNumberingAfterBreak="0">
    <w:nsid w:val="1AEB5F87"/>
    <w:multiLevelType w:val="multilevel"/>
    <w:tmpl w:val="FDE0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DF61F2"/>
    <w:multiLevelType w:val="multilevel"/>
    <w:tmpl w:val="CA8252C6"/>
    <w:styleLink w:val="Style5"/>
    <w:lvl w:ilvl="0">
      <w:start w:val="1"/>
      <w:numFmt w:val="decimal"/>
      <w:lvlText w:val="%1."/>
      <w:lvlJc w:val="left"/>
      <w:pPr>
        <w:ind w:left="357" w:hanging="357"/>
      </w:pPr>
      <w:rPr>
        <w:rFonts w:hint="default"/>
        <w:color w:val="00D488"/>
      </w:rPr>
    </w:lvl>
    <w:lvl w:ilvl="1">
      <w:start w:val="1"/>
      <w:numFmt w:val="lowerLetter"/>
      <w:lvlText w:val="%2."/>
      <w:lvlJc w:val="left"/>
      <w:pPr>
        <w:ind w:left="1077" w:hanging="357"/>
      </w:pPr>
      <w:rPr>
        <w:rFonts w:hint="default"/>
        <w:color w:val="00D488"/>
      </w:rPr>
    </w:lvl>
    <w:lvl w:ilvl="2">
      <w:start w:val="1"/>
      <w:numFmt w:val="lowerRoman"/>
      <w:lvlText w:val="%3."/>
      <w:lvlJc w:val="left"/>
      <w:pPr>
        <w:ind w:left="1797" w:hanging="357"/>
      </w:pPr>
      <w:rPr>
        <w:rFonts w:hint="default"/>
        <w:color w:val="00D488"/>
      </w:rPr>
    </w:lvl>
    <w:lvl w:ilvl="3">
      <w:start w:val="1"/>
      <w:numFmt w:val="bullet"/>
      <w:lvlText w:val=""/>
      <w:lvlJc w:val="left"/>
      <w:pPr>
        <w:ind w:left="2517" w:hanging="357"/>
      </w:pPr>
      <w:rPr>
        <w:rFonts w:ascii="Symbol" w:hAnsi="Symbol" w:hint="default"/>
        <w:color w:val="00D488"/>
      </w:rPr>
    </w:lvl>
    <w:lvl w:ilvl="4">
      <w:start w:val="1"/>
      <w:numFmt w:val="lowerLetter"/>
      <w:lvlText w:val="(%5)"/>
      <w:lvlJc w:val="left"/>
      <w:pPr>
        <w:ind w:left="3237" w:hanging="357"/>
      </w:pPr>
      <w:rPr>
        <w:rFonts w:hint="default"/>
        <w:color w:val="00D488"/>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12" w15:restartNumberingAfterBreak="0">
    <w:nsid w:val="20370F37"/>
    <w:multiLevelType w:val="multilevel"/>
    <w:tmpl w:val="D8B0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F595C"/>
    <w:multiLevelType w:val="multilevel"/>
    <w:tmpl w:val="B110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941D9"/>
    <w:multiLevelType w:val="multilevel"/>
    <w:tmpl w:val="B9740D58"/>
    <w:lvl w:ilvl="0">
      <w:start w:val="1"/>
      <w:numFmt w:val="decimal"/>
      <w:lvlText w:val="%1."/>
      <w:lvlJc w:val="left"/>
      <w:pPr>
        <w:ind w:left="357" w:hanging="357"/>
      </w:pPr>
      <w:rPr>
        <w:rFonts w:hint="default"/>
        <w:color w:val="FF79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15" w15:restartNumberingAfterBreak="0">
    <w:nsid w:val="29E91780"/>
    <w:multiLevelType w:val="hybridMultilevel"/>
    <w:tmpl w:val="7C8EF62A"/>
    <w:lvl w:ilvl="0" w:tplc="B2F27AA6">
      <w:start w:val="1"/>
      <w:numFmt w:val="bullet"/>
      <w:lvlText w:val=""/>
      <w:lvlJc w:val="left"/>
      <w:pPr>
        <w:ind w:left="360" w:hanging="360"/>
      </w:pPr>
      <w:rPr>
        <w:rFonts w:ascii="Symbol" w:hAnsi="Symbol" w:hint="default"/>
        <w:color w:val="FD4F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 w15:restartNumberingAfterBreak="0">
    <w:nsid w:val="29EE4063"/>
    <w:multiLevelType w:val="hybridMultilevel"/>
    <w:tmpl w:val="9C3AD4C0"/>
    <w:lvl w:ilvl="0" w:tplc="26725E02">
      <w:start w:val="1"/>
      <w:numFmt w:val="bullet"/>
      <w:lvlText w:val=""/>
      <w:lvlJc w:val="left"/>
      <w:rPr>
        <w:rFonts w:ascii="Symbol" w:hAnsi="Symbol" w:hint="default"/>
        <w:color w:val="7800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7" w15:restartNumberingAfterBreak="0">
    <w:nsid w:val="2AC15ADF"/>
    <w:multiLevelType w:val="multilevel"/>
    <w:tmpl w:val="CBB4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78736D"/>
    <w:multiLevelType w:val="multilevel"/>
    <w:tmpl w:val="B9C8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524602"/>
    <w:multiLevelType w:val="multilevel"/>
    <w:tmpl w:val="40601A92"/>
    <w:numStyleLink w:val="Style4"/>
  </w:abstractNum>
  <w:abstractNum w:abstractNumId="20" w15:restartNumberingAfterBreak="0">
    <w:nsid w:val="39936EA9"/>
    <w:multiLevelType w:val="multilevel"/>
    <w:tmpl w:val="0C36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212DD"/>
    <w:multiLevelType w:val="multilevel"/>
    <w:tmpl w:val="939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E44ADB"/>
    <w:multiLevelType w:val="multilevel"/>
    <w:tmpl w:val="9E4C5A8A"/>
    <w:numStyleLink w:val="Style1"/>
  </w:abstractNum>
  <w:abstractNum w:abstractNumId="23" w15:restartNumberingAfterBreak="0">
    <w:nsid w:val="47AA0FC5"/>
    <w:multiLevelType w:val="multilevel"/>
    <w:tmpl w:val="9E4C5A8A"/>
    <w:numStyleLink w:val="Style1"/>
  </w:abstractNum>
  <w:abstractNum w:abstractNumId="24" w15:restartNumberingAfterBreak="0">
    <w:nsid w:val="4ECB7DC6"/>
    <w:multiLevelType w:val="multilevel"/>
    <w:tmpl w:val="36C80CEC"/>
    <w:lvl w:ilvl="0">
      <w:start w:val="1"/>
      <w:numFmt w:val="decimal"/>
      <w:lvlText w:val="%1."/>
      <w:lvlJc w:val="left"/>
      <w:pPr>
        <w:ind w:left="357" w:hanging="357"/>
      </w:pPr>
      <w:rPr>
        <w:rFonts w:hint="default"/>
        <w:color w:val="FD4F00"/>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25" w15:restartNumberingAfterBreak="0">
    <w:nsid w:val="57F357CD"/>
    <w:multiLevelType w:val="multilevel"/>
    <w:tmpl w:val="32F6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D16D77"/>
    <w:multiLevelType w:val="multilevel"/>
    <w:tmpl w:val="0358AF78"/>
    <w:numStyleLink w:val="Style2"/>
  </w:abstractNum>
  <w:abstractNum w:abstractNumId="27" w15:restartNumberingAfterBreak="0">
    <w:nsid w:val="5B0645E4"/>
    <w:multiLevelType w:val="hybridMultilevel"/>
    <w:tmpl w:val="9232297E"/>
    <w:lvl w:ilvl="0" w:tplc="26EEDEF8">
      <w:start w:val="1"/>
      <w:numFmt w:val="bullet"/>
      <w:pStyle w:val="Bulletpoint"/>
      <w:lvlText w:val=""/>
      <w:lvlJc w:val="left"/>
      <w:pPr>
        <w:ind w:hanging="360"/>
      </w:pPr>
      <w:rPr>
        <w:rFonts w:ascii="Symbol" w:hAnsi="Symbol" w:hint="default"/>
        <w:color w:val="FF7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8" w15:restartNumberingAfterBreak="0">
    <w:nsid w:val="66952113"/>
    <w:multiLevelType w:val="multilevel"/>
    <w:tmpl w:val="3C22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FA642C"/>
    <w:multiLevelType w:val="hybridMultilevel"/>
    <w:tmpl w:val="764CD6D6"/>
    <w:lvl w:ilvl="0" w:tplc="9D78B232">
      <w:start w:val="1"/>
      <w:numFmt w:val="bullet"/>
      <w:lvlText w:val=""/>
      <w:lvlJc w:val="left"/>
      <w:rPr>
        <w:rFonts w:ascii="Symbol" w:hAnsi="Symbol" w:hint="default"/>
        <w:color w:val="FD4F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0" w15:restartNumberingAfterBreak="0">
    <w:nsid w:val="66FC19EC"/>
    <w:multiLevelType w:val="hybridMultilevel"/>
    <w:tmpl w:val="317A99C6"/>
    <w:lvl w:ilvl="0" w:tplc="3FF2B28E">
      <w:start w:val="1"/>
      <w:numFmt w:val="bullet"/>
      <w:lvlText w:val=""/>
      <w:lvlJc w:val="left"/>
      <w:pPr>
        <w:ind w:left="360" w:hanging="360"/>
      </w:pPr>
      <w:rPr>
        <w:rFonts w:ascii="Symbol" w:hAnsi="Symbol" w:hint="default"/>
        <w:color w:val="FF7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1" w15:restartNumberingAfterBreak="0">
    <w:nsid w:val="686664D1"/>
    <w:multiLevelType w:val="multilevel"/>
    <w:tmpl w:val="0A7C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990C14"/>
    <w:multiLevelType w:val="multilevel"/>
    <w:tmpl w:val="3B5E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F41B37"/>
    <w:multiLevelType w:val="hybridMultilevel"/>
    <w:tmpl w:val="917E38F2"/>
    <w:lvl w:ilvl="0" w:tplc="0C09000F">
      <w:start w:val="1"/>
      <w:numFmt w:val="decimal"/>
      <w:lvlText w:val="%1."/>
      <w:lvlJc w:val="left"/>
      <w:pPr>
        <w:ind w:left="360" w:hanging="360"/>
      </w:pPr>
      <w:rPr>
        <w:rFonts w:hint="default"/>
        <w:color w:val="FF7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4" w15:restartNumberingAfterBreak="0">
    <w:nsid w:val="71580158"/>
    <w:multiLevelType w:val="multilevel"/>
    <w:tmpl w:val="0358AF78"/>
    <w:numStyleLink w:val="Style2"/>
  </w:abstractNum>
  <w:abstractNum w:abstractNumId="35" w15:restartNumberingAfterBreak="0">
    <w:nsid w:val="71E36552"/>
    <w:multiLevelType w:val="multilevel"/>
    <w:tmpl w:val="A0D6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96116B"/>
    <w:multiLevelType w:val="multilevel"/>
    <w:tmpl w:val="DE94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503443">
    <w:abstractNumId w:val="0"/>
  </w:num>
  <w:num w:numId="2" w16cid:durableId="664938955">
    <w:abstractNumId w:val="22"/>
  </w:num>
  <w:num w:numId="3" w16cid:durableId="977226042">
    <w:abstractNumId w:val="5"/>
  </w:num>
  <w:num w:numId="4" w16cid:durableId="1041706723">
    <w:abstractNumId w:val="1"/>
  </w:num>
  <w:num w:numId="5" w16cid:durableId="1684939197">
    <w:abstractNumId w:val="24"/>
  </w:num>
  <w:num w:numId="6" w16cid:durableId="2015455565">
    <w:abstractNumId w:val="8"/>
  </w:num>
  <w:num w:numId="7" w16cid:durableId="1604150285">
    <w:abstractNumId w:val="19"/>
  </w:num>
  <w:num w:numId="8" w16cid:durableId="2124688329">
    <w:abstractNumId w:val="2"/>
  </w:num>
  <w:num w:numId="9" w16cid:durableId="1975330201">
    <w:abstractNumId w:val="14"/>
  </w:num>
  <w:num w:numId="10" w16cid:durableId="268895414">
    <w:abstractNumId w:val="23"/>
  </w:num>
  <w:num w:numId="11" w16cid:durableId="24643852">
    <w:abstractNumId w:val="7"/>
  </w:num>
  <w:num w:numId="12" w16cid:durableId="866144003">
    <w:abstractNumId w:val="3"/>
  </w:num>
  <w:num w:numId="13" w16cid:durableId="1579438376">
    <w:abstractNumId w:val="26"/>
  </w:num>
  <w:num w:numId="14" w16cid:durableId="1139230029">
    <w:abstractNumId w:val="30"/>
  </w:num>
  <w:num w:numId="15" w16cid:durableId="426846280">
    <w:abstractNumId w:val="33"/>
  </w:num>
  <w:num w:numId="16" w16cid:durableId="712465167">
    <w:abstractNumId w:val="15"/>
  </w:num>
  <w:num w:numId="17" w16cid:durableId="1442727883">
    <w:abstractNumId w:val="27"/>
  </w:num>
  <w:num w:numId="18" w16cid:durableId="627705650">
    <w:abstractNumId w:val="29"/>
  </w:num>
  <w:num w:numId="19" w16cid:durableId="1599173033">
    <w:abstractNumId w:val="9"/>
  </w:num>
  <w:num w:numId="20" w16cid:durableId="2094663278">
    <w:abstractNumId w:val="11"/>
  </w:num>
  <w:num w:numId="21" w16cid:durableId="651064612">
    <w:abstractNumId w:val="16"/>
  </w:num>
  <w:num w:numId="22" w16cid:durableId="630482478">
    <w:abstractNumId w:val="6"/>
  </w:num>
  <w:num w:numId="23" w16cid:durableId="670714187">
    <w:abstractNumId w:val="34"/>
  </w:num>
  <w:num w:numId="24" w16cid:durableId="1108502681">
    <w:abstractNumId w:val="36"/>
  </w:num>
  <w:num w:numId="25" w16cid:durableId="318462120">
    <w:abstractNumId w:val="17"/>
  </w:num>
  <w:num w:numId="26" w16cid:durableId="238368037">
    <w:abstractNumId w:val="35"/>
  </w:num>
  <w:num w:numId="27" w16cid:durableId="734549022">
    <w:abstractNumId w:val="12"/>
  </w:num>
  <w:num w:numId="28" w16cid:durableId="1376663225">
    <w:abstractNumId w:val="13"/>
  </w:num>
  <w:num w:numId="29" w16cid:durableId="888809500">
    <w:abstractNumId w:val="10"/>
  </w:num>
  <w:num w:numId="30" w16cid:durableId="548763944">
    <w:abstractNumId w:val="18"/>
  </w:num>
  <w:num w:numId="31" w16cid:durableId="1522935897">
    <w:abstractNumId w:val="32"/>
  </w:num>
  <w:num w:numId="32" w16cid:durableId="1639528466">
    <w:abstractNumId w:val="28"/>
  </w:num>
  <w:num w:numId="33" w16cid:durableId="298152941">
    <w:abstractNumId w:val="4"/>
  </w:num>
  <w:num w:numId="34" w16cid:durableId="1367372157">
    <w:abstractNumId w:val="20"/>
  </w:num>
  <w:num w:numId="35" w16cid:durableId="794064941">
    <w:abstractNumId w:val="25"/>
  </w:num>
  <w:num w:numId="36" w16cid:durableId="96684516">
    <w:abstractNumId w:val="21"/>
  </w:num>
  <w:num w:numId="37" w16cid:durableId="966549449">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EFA"/>
    <w:rsid w:val="00000665"/>
    <w:rsid w:val="00001DB1"/>
    <w:rsid w:val="00003AAE"/>
    <w:rsid w:val="00004E94"/>
    <w:rsid w:val="00010F0F"/>
    <w:rsid w:val="0001294B"/>
    <w:rsid w:val="00012B7E"/>
    <w:rsid w:val="00014419"/>
    <w:rsid w:val="00014E78"/>
    <w:rsid w:val="00022380"/>
    <w:rsid w:val="000223AD"/>
    <w:rsid w:val="000325C0"/>
    <w:rsid w:val="00035CC2"/>
    <w:rsid w:val="00037F5B"/>
    <w:rsid w:val="000406AD"/>
    <w:rsid w:val="0004309B"/>
    <w:rsid w:val="00053396"/>
    <w:rsid w:val="00053E2B"/>
    <w:rsid w:val="000557AB"/>
    <w:rsid w:val="00056612"/>
    <w:rsid w:val="000609DC"/>
    <w:rsid w:val="0006251D"/>
    <w:rsid w:val="00062B00"/>
    <w:rsid w:val="0006459A"/>
    <w:rsid w:val="00066B32"/>
    <w:rsid w:val="00070892"/>
    <w:rsid w:val="000711E7"/>
    <w:rsid w:val="0007576B"/>
    <w:rsid w:val="000806FC"/>
    <w:rsid w:val="0008486A"/>
    <w:rsid w:val="00084AA1"/>
    <w:rsid w:val="00085DA1"/>
    <w:rsid w:val="0008761A"/>
    <w:rsid w:val="00092712"/>
    <w:rsid w:val="00096E51"/>
    <w:rsid w:val="000A29F7"/>
    <w:rsid w:val="000A5A21"/>
    <w:rsid w:val="000A5CF4"/>
    <w:rsid w:val="000B11C5"/>
    <w:rsid w:val="000B3AFA"/>
    <w:rsid w:val="000B4414"/>
    <w:rsid w:val="000B7F33"/>
    <w:rsid w:val="000C0C66"/>
    <w:rsid w:val="000C1B7F"/>
    <w:rsid w:val="000C3DCA"/>
    <w:rsid w:val="000D1784"/>
    <w:rsid w:val="000D54C9"/>
    <w:rsid w:val="000E01ED"/>
    <w:rsid w:val="000E0B99"/>
    <w:rsid w:val="000E1783"/>
    <w:rsid w:val="000E6684"/>
    <w:rsid w:val="000E7D4B"/>
    <w:rsid w:val="001013BA"/>
    <w:rsid w:val="001022B2"/>
    <w:rsid w:val="001055EB"/>
    <w:rsid w:val="00110C2D"/>
    <w:rsid w:val="00112F8C"/>
    <w:rsid w:val="00115550"/>
    <w:rsid w:val="00116AAB"/>
    <w:rsid w:val="00121B34"/>
    <w:rsid w:val="00121F24"/>
    <w:rsid w:val="001235EB"/>
    <w:rsid w:val="00124890"/>
    <w:rsid w:val="00126BCE"/>
    <w:rsid w:val="00135EB2"/>
    <w:rsid w:val="001504AD"/>
    <w:rsid w:val="00150C2E"/>
    <w:rsid w:val="00156DAE"/>
    <w:rsid w:val="00157978"/>
    <w:rsid w:val="00162062"/>
    <w:rsid w:val="00162368"/>
    <w:rsid w:val="001631AB"/>
    <w:rsid w:val="0016445A"/>
    <w:rsid w:val="00164AC5"/>
    <w:rsid w:val="00165079"/>
    <w:rsid w:val="00165529"/>
    <w:rsid w:val="00172F02"/>
    <w:rsid w:val="00173D10"/>
    <w:rsid w:val="00177415"/>
    <w:rsid w:val="00177F7F"/>
    <w:rsid w:val="00180B1A"/>
    <w:rsid w:val="00185818"/>
    <w:rsid w:val="00185ECF"/>
    <w:rsid w:val="001A3FC6"/>
    <w:rsid w:val="001B0587"/>
    <w:rsid w:val="001B1F6A"/>
    <w:rsid w:val="001B3B78"/>
    <w:rsid w:val="001D0C67"/>
    <w:rsid w:val="001D2213"/>
    <w:rsid w:val="001D7D65"/>
    <w:rsid w:val="001E0A91"/>
    <w:rsid w:val="001E335D"/>
    <w:rsid w:val="001E6497"/>
    <w:rsid w:val="001F1700"/>
    <w:rsid w:val="001F1C57"/>
    <w:rsid w:val="00204E52"/>
    <w:rsid w:val="0020689C"/>
    <w:rsid w:val="0023158E"/>
    <w:rsid w:val="0023365B"/>
    <w:rsid w:val="00235C0C"/>
    <w:rsid w:val="0023716D"/>
    <w:rsid w:val="0023739C"/>
    <w:rsid w:val="0025007D"/>
    <w:rsid w:val="0025145D"/>
    <w:rsid w:val="002559E9"/>
    <w:rsid w:val="0025607C"/>
    <w:rsid w:val="00256D1F"/>
    <w:rsid w:val="002614B6"/>
    <w:rsid w:val="002630AF"/>
    <w:rsid w:val="00263AA1"/>
    <w:rsid w:val="002655C7"/>
    <w:rsid w:val="00265E7D"/>
    <w:rsid w:val="002717F4"/>
    <w:rsid w:val="0027625A"/>
    <w:rsid w:val="00280E32"/>
    <w:rsid w:val="00281564"/>
    <w:rsid w:val="002860F9"/>
    <w:rsid w:val="002878C6"/>
    <w:rsid w:val="00290748"/>
    <w:rsid w:val="0029097A"/>
    <w:rsid w:val="00290C6B"/>
    <w:rsid w:val="0029388A"/>
    <w:rsid w:val="002941B5"/>
    <w:rsid w:val="002945EA"/>
    <w:rsid w:val="002957A7"/>
    <w:rsid w:val="002A4C77"/>
    <w:rsid w:val="002A7634"/>
    <w:rsid w:val="002A7CF9"/>
    <w:rsid w:val="002B23F2"/>
    <w:rsid w:val="002B38E8"/>
    <w:rsid w:val="002B3EB3"/>
    <w:rsid w:val="002B7E18"/>
    <w:rsid w:val="002C2CF1"/>
    <w:rsid w:val="002C7011"/>
    <w:rsid w:val="002D187E"/>
    <w:rsid w:val="002D3050"/>
    <w:rsid w:val="002D31E1"/>
    <w:rsid w:val="002D3CF0"/>
    <w:rsid w:val="002D5780"/>
    <w:rsid w:val="002E0747"/>
    <w:rsid w:val="002E1B82"/>
    <w:rsid w:val="002E466A"/>
    <w:rsid w:val="002F5FE9"/>
    <w:rsid w:val="003035A4"/>
    <w:rsid w:val="00304B34"/>
    <w:rsid w:val="00306CF9"/>
    <w:rsid w:val="00307807"/>
    <w:rsid w:val="0031044F"/>
    <w:rsid w:val="00317148"/>
    <w:rsid w:val="003179B7"/>
    <w:rsid w:val="0032111E"/>
    <w:rsid w:val="00323C2D"/>
    <w:rsid w:val="0033273E"/>
    <w:rsid w:val="00333655"/>
    <w:rsid w:val="00340689"/>
    <w:rsid w:val="00340C51"/>
    <w:rsid w:val="00341F78"/>
    <w:rsid w:val="00342786"/>
    <w:rsid w:val="00345E92"/>
    <w:rsid w:val="003470C6"/>
    <w:rsid w:val="00350CEA"/>
    <w:rsid w:val="00350DBD"/>
    <w:rsid w:val="00353BAA"/>
    <w:rsid w:val="00353F73"/>
    <w:rsid w:val="003552CA"/>
    <w:rsid w:val="00357C70"/>
    <w:rsid w:val="00360768"/>
    <w:rsid w:val="003619AA"/>
    <w:rsid w:val="003633E5"/>
    <w:rsid w:val="003646C3"/>
    <w:rsid w:val="00364B8A"/>
    <w:rsid w:val="00366E6F"/>
    <w:rsid w:val="0037157C"/>
    <w:rsid w:val="00372C07"/>
    <w:rsid w:val="00373AC0"/>
    <w:rsid w:val="00376497"/>
    <w:rsid w:val="003776C7"/>
    <w:rsid w:val="0038073A"/>
    <w:rsid w:val="00380872"/>
    <w:rsid w:val="003810C1"/>
    <w:rsid w:val="00381950"/>
    <w:rsid w:val="00387AA0"/>
    <w:rsid w:val="00391506"/>
    <w:rsid w:val="003935D6"/>
    <w:rsid w:val="0039577B"/>
    <w:rsid w:val="00395E3C"/>
    <w:rsid w:val="003A1246"/>
    <w:rsid w:val="003A2A7D"/>
    <w:rsid w:val="003A42FD"/>
    <w:rsid w:val="003A53D6"/>
    <w:rsid w:val="003A61F1"/>
    <w:rsid w:val="003A7063"/>
    <w:rsid w:val="003B06A5"/>
    <w:rsid w:val="003B08F9"/>
    <w:rsid w:val="003B2B30"/>
    <w:rsid w:val="003B7AFC"/>
    <w:rsid w:val="003C0FCA"/>
    <w:rsid w:val="003C1943"/>
    <w:rsid w:val="003C3976"/>
    <w:rsid w:val="003C4514"/>
    <w:rsid w:val="003D406D"/>
    <w:rsid w:val="003D5E40"/>
    <w:rsid w:val="003E04D9"/>
    <w:rsid w:val="003E0B15"/>
    <w:rsid w:val="003E56AA"/>
    <w:rsid w:val="003E655E"/>
    <w:rsid w:val="003F1B5D"/>
    <w:rsid w:val="003F6220"/>
    <w:rsid w:val="00401516"/>
    <w:rsid w:val="00401BB5"/>
    <w:rsid w:val="0041307F"/>
    <w:rsid w:val="004133DC"/>
    <w:rsid w:val="00413CFB"/>
    <w:rsid w:val="004146C5"/>
    <w:rsid w:val="0041504B"/>
    <w:rsid w:val="00423F8B"/>
    <w:rsid w:val="004307B7"/>
    <w:rsid w:val="00431622"/>
    <w:rsid w:val="004336BB"/>
    <w:rsid w:val="004352E6"/>
    <w:rsid w:val="00436737"/>
    <w:rsid w:val="00441B49"/>
    <w:rsid w:val="00442210"/>
    <w:rsid w:val="004510B1"/>
    <w:rsid w:val="00453751"/>
    <w:rsid w:val="00456A36"/>
    <w:rsid w:val="004572BE"/>
    <w:rsid w:val="00473188"/>
    <w:rsid w:val="00473B3F"/>
    <w:rsid w:val="004817A6"/>
    <w:rsid w:val="00485B20"/>
    <w:rsid w:val="00487E3B"/>
    <w:rsid w:val="00493E01"/>
    <w:rsid w:val="004A12EA"/>
    <w:rsid w:val="004A1494"/>
    <w:rsid w:val="004A2558"/>
    <w:rsid w:val="004A2CB6"/>
    <w:rsid w:val="004A3D2E"/>
    <w:rsid w:val="004A54DB"/>
    <w:rsid w:val="004A7B36"/>
    <w:rsid w:val="004B0493"/>
    <w:rsid w:val="004B6127"/>
    <w:rsid w:val="004B6597"/>
    <w:rsid w:val="004C1B6E"/>
    <w:rsid w:val="004C5C3C"/>
    <w:rsid w:val="004C5F89"/>
    <w:rsid w:val="004C601C"/>
    <w:rsid w:val="004C6E21"/>
    <w:rsid w:val="004D57A7"/>
    <w:rsid w:val="004E237B"/>
    <w:rsid w:val="004F12B7"/>
    <w:rsid w:val="004F199E"/>
    <w:rsid w:val="004F3300"/>
    <w:rsid w:val="005027A0"/>
    <w:rsid w:val="0051305D"/>
    <w:rsid w:val="00514027"/>
    <w:rsid w:val="00514793"/>
    <w:rsid w:val="00516B02"/>
    <w:rsid w:val="005208DC"/>
    <w:rsid w:val="00522138"/>
    <w:rsid w:val="00525269"/>
    <w:rsid w:val="00535C6D"/>
    <w:rsid w:val="005372CF"/>
    <w:rsid w:val="00537B72"/>
    <w:rsid w:val="00540A66"/>
    <w:rsid w:val="005413FA"/>
    <w:rsid w:val="00542FD4"/>
    <w:rsid w:val="005430CD"/>
    <w:rsid w:val="0054624C"/>
    <w:rsid w:val="00546EAC"/>
    <w:rsid w:val="00547251"/>
    <w:rsid w:val="00550A70"/>
    <w:rsid w:val="00554627"/>
    <w:rsid w:val="00562294"/>
    <w:rsid w:val="00562F5E"/>
    <w:rsid w:val="00573FDE"/>
    <w:rsid w:val="00576627"/>
    <w:rsid w:val="0058285D"/>
    <w:rsid w:val="00582A90"/>
    <w:rsid w:val="005843E2"/>
    <w:rsid w:val="005852EE"/>
    <w:rsid w:val="0058624B"/>
    <w:rsid w:val="00590A5B"/>
    <w:rsid w:val="0059127B"/>
    <w:rsid w:val="005918EB"/>
    <w:rsid w:val="0059249A"/>
    <w:rsid w:val="005963B9"/>
    <w:rsid w:val="005A088D"/>
    <w:rsid w:val="005A3372"/>
    <w:rsid w:val="005A41D0"/>
    <w:rsid w:val="005A7AD5"/>
    <w:rsid w:val="005B1A22"/>
    <w:rsid w:val="005B488F"/>
    <w:rsid w:val="005B53EC"/>
    <w:rsid w:val="005C1775"/>
    <w:rsid w:val="005C1898"/>
    <w:rsid w:val="005C2B04"/>
    <w:rsid w:val="005C4471"/>
    <w:rsid w:val="005C4E3F"/>
    <w:rsid w:val="005D099B"/>
    <w:rsid w:val="005D255E"/>
    <w:rsid w:val="005D33C4"/>
    <w:rsid w:val="005D5953"/>
    <w:rsid w:val="005D5B24"/>
    <w:rsid w:val="005D7081"/>
    <w:rsid w:val="005E18F2"/>
    <w:rsid w:val="005F1055"/>
    <w:rsid w:val="005F7274"/>
    <w:rsid w:val="00602F23"/>
    <w:rsid w:val="00603D89"/>
    <w:rsid w:val="00606B70"/>
    <w:rsid w:val="00607EBB"/>
    <w:rsid w:val="006117FD"/>
    <w:rsid w:val="00616AA1"/>
    <w:rsid w:val="006207E8"/>
    <w:rsid w:val="00620990"/>
    <w:rsid w:val="006244ED"/>
    <w:rsid w:val="0062639E"/>
    <w:rsid w:val="00635B44"/>
    <w:rsid w:val="00641165"/>
    <w:rsid w:val="00642D12"/>
    <w:rsid w:val="006432EF"/>
    <w:rsid w:val="006470EA"/>
    <w:rsid w:val="00651A8B"/>
    <w:rsid w:val="006525B0"/>
    <w:rsid w:val="00654948"/>
    <w:rsid w:val="00655156"/>
    <w:rsid w:val="006554DF"/>
    <w:rsid w:val="006668F7"/>
    <w:rsid w:val="00671EAA"/>
    <w:rsid w:val="00674417"/>
    <w:rsid w:val="0067485D"/>
    <w:rsid w:val="00675F19"/>
    <w:rsid w:val="006769C8"/>
    <w:rsid w:val="00681EFE"/>
    <w:rsid w:val="00682DAD"/>
    <w:rsid w:val="00683604"/>
    <w:rsid w:val="00685516"/>
    <w:rsid w:val="00694E4C"/>
    <w:rsid w:val="00695E5B"/>
    <w:rsid w:val="00696FB2"/>
    <w:rsid w:val="006B634D"/>
    <w:rsid w:val="006B6D8E"/>
    <w:rsid w:val="006C2FD1"/>
    <w:rsid w:val="006D10AA"/>
    <w:rsid w:val="006D4108"/>
    <w:rsid w:val="006D4F8B"/>
    <w:rsid w:val="006D6CAF"/>
    <w:rsid w:val="006E0ADB"/>
    <w:rsid w:val="006F68AC"/>
    <w:rsid w:val="006F7FD6"/>
    <w:rsid w:val="007017AF"/>
    <w:rsid w:val="00702D46"/>
    <w:rsid w:val="007063EB"/>
    <w:rsid w:val="00707CFE"/>
    <w:rsid w:val="00712EE8"/>
    <w:rsid w:val="00715B4D"/>
    <w:rsid w:val="007275CE"/>
    <w:rsid w:val="00727659"/>
    <w:rsid w:val="00732178"/>
    <w:rsid w:val="007361AD"/>
    <w:rsid w:val="0073638A"/>
    <w:rsid w:val="00740174"/>
    <w:rsid w:val="00741A41"/>
    <w:rsid w:val="00741C07"/>
    <w:rsid w:val="00741D85"/>
    <w:rsid w:val="007421B0"/>
    <w:rsid w:val="007429D0"/>
    <w:rsid w:val="00742AB9"/>
    <w:rsid w:val="0074337B"/>
    <w:rsid w:val="00747937"/>
    <w:rsid w:val="007534E3"/>
    <w:rsid w:val="0075630D"/>
    <w:rsid w:val="00772CE5"/>
    <w:rsid w:val="0077390C"/>
    <w:rsid w:val="00773A38"/>
    <w:rsid w:val="007746C0"/>
    <w:rsid w:val="00775CD1"/>
    <w:rsid w:val="007763F1"/>
    <w:rsid w:val="00776761"/>
    <w:rsid w:val="00784C30"/>
    <w:rsid w:val="00787C76"/>
    <w:rsid w:val="007928D5"/>
    <w:rsid w:val="007A06B8"/>
    <w:rsid w:val="007A3C9E"/>
    <w:rsid w:val="007B41DD"/>
    <w:rsid w:val="007B6365"/>
    <w:rsid w:val="007B71E4"/>
    <w:rsid w:val="007C3538"/>
    <w:rsid w:val="007C5DCE"/>
    <w:rsid w:val="007C7536"/>
    <w:rsid w:val="007D1817"/>
    <w:rsid w:val="007D2BC7"/>
    <w:rsid w:val="007E538C"/>
    <w:rsid w:val="007E7C47"/>
    <w:rsid w:val="007F0B75"/>
    <w:rsid w:val="007F19DC"/>
    <w:rsid w:val="007F3603"/>
    <w:rsid w:val="007F3E7D"/>
    <w:rsid w:val="007F3F81"/>
    <w:rsid w:val="007F5ADE"/>
    <w:rsid w:val="00805E9E"/>
    <w:rsid w:val="00807763"/>
    <w:rsid w:val="0081454D"/>
    <w:rsid w:val="00816FA2"/>
    <w:rsid w:val="00820592"/>
    <w:rsid w:val="00821CFB"/>
    <w:rsid w:val="00823C9C"/>
    <w:rsid w:val="00824835"/>
    <w:rsid w:val="00824C3C"/>
    <w:rsid w:val="008276D4"/>
    <w:rsid w:val="00833AFD"/>
    <w:rsid w:val="0083542F"/>
    <w:rsid w:val="0083746C"/>
    <w:rsid w:val="00840DD6"/>
    <w:rsid w:val="008442FC"/>
    <w:rsid w:val="008453F3"/>
    <w:rsid w:val="008521B1"/>
    <w:rsid w:val="0086537E"/>
    <w:rsid w:val="00865DDC"/>
    <w:rsid w:val="0086745F"/>
    <w:rsid w:val="00871BC3"/>
    <w:rsid w:val="008726B3"/>
    <w:rsid w:val="0087665B"/>
    <w:rsid w:val="008823C4"/>
    <w:rsid w:val="008834C1"/>
    <w:rsid w:val="00885BEF"/>
    <w:rsid w:val="008876E7"/>
    <w:rsid w:val="00890797"/>
    <w:rsid w:val="008912F2"/>
    <w:rsid w:val="008928C3"/>
    <w:rsid w:val="008961F9"/>
    <w:rsid w:val="0089766B"/>
    <w:rsid w:val="008A0D89"/>
    <w:rsid w:val="008A6EC2"/>
    <w:rsid w:val="008A7026"/>
    <w:rsid w:val="008A78F9"/>
    <w:rsid w:val="008A795D"/>
    <w:rsid w:val="008A7E58"/>
    <w:rsid w:val="008B26DB"/>
    <w:rsid w:val="008B6418"/>
    <w:rsid w:val="008C41AC"/>
    <w:rsid w:val="008C4A52"/>
    <w:rsid w:val="008C6EBA"/>
    <w:rsid w:val="008C758E"/>
    <w:rsid w:val="008C7EFA"/>
    <w:rsid w:val="008D1E5D"/>
    <w:rsid w:val="008D598A"/>
    <w:rsid w:val="008D6C77"/>
    <w:rsid w:val="008E121B"/>
    <w:rsid w:val="008E1BA1"/>
    <w:rsid w:val="008E305A"/>
    <w:rsid w:val="008E3D55"/>
    <w:rsid w:val="008E4252"/>
    <w:rsid w:val="008F2274"/>
    <w:rsid w:val="008F751A"/>
    <w:rsid w:val="0090129C"/>
    <w:rsid w:val="00905A99"/>
    <w:rsid w:val="0091059F"/>
    <w:rsid w:val="00911BC5"/>
    <w:rsid w:val="00912BE1"/>
    <w:rsid w:val="00913161"/>
    <w:rsid w:val="009132C3"/>
    <w:rsid w:val="009160F2"/>
    <w:rsid w:val="009179C1"/>
    <w:rsid w:val="00923C03"/>
    <w:rsid w:val="00924626"/>
    <w:rsid w:val="009261E0"/>
    <w:rsid w:val="009271E3"/>
    <w:rsid w:val="009349BB"/>
    <w:rsid w:val="00935167"/>
    <w:rsid w:val="009353B4"/>
    <w:rsid w:val="00936103"/>
    <w:rsid w:val="0095154E"/>
    <w:rsid w:val="00956F45"/>
    <w:rsid w:val="00960916"/>
    <w:rsid w:val="00960AA8"/>
    <w:rsid w:val="009617A7"/>
    <w:rsid w:val="0096348F"/>
    <w:rsid w:val="00963A1C"/>
    <w:rsid w:val="00965492"/>
    <w:rsid w:val="00965DC2"/>
    <w:rsid w:val="009722EB"/>
    <w:rsid w:val="0097385C"/>
    <w:rsid w:val="00973F06"/>
    <w:rsid w:val="00977588"/>
    <w:rsid w:val="00983912"/>
    <w:rsid w:val="00987FD7"/>
    <w:rsid w:val="00993857"/>
    <w:rsid w:val="009939D3"/>
    <w:rsid w:val="00993B1A"/>
    <w:rsid w:val="009A1E5C"/>
    <w:rsid w:val="009A479A"/>
    <w:rsid w:val="009A4B46"/>
    <w:rsid w:val="009A71D1"/>
    <w:rsid w:val="009A7393"/>
    <w:rsid w:val="009B03FA"/>
    <w:rsid w:val="009B065B"/>
    <w:rsid w:val="009B07F3"/>
    <w:rsid w:val="009B5E9B"/>
    <w:rsid w:val="009B64EB"/>
    <w:rsid w:val="009B7624"/>
    <w:rsid w:val="009C0DA2"/>
    <w:rsid w:val="009C0E8B"/>
    <w:rsid w:val="009C1374"/>
    <w:rsid w:val="009C282B"/>
    <w:rsid w:val="009C4F7C"/>
    <w:rsid w:val="009C691E"/>
    <w:rsid w:val="009D2C29"/>
    <w:rsid w:val="009D30E3"/>
    <w:rsid w:val="009D4107"/>
    <w:rsid w:val="009D586B"/>
    <w:rsid w:val="009D6E9F"/>
    <w:rsid w:val="009D71A6"/>
    <w:rsid w:val="009D7210"/>
    <w:rsid w:val="009D7A60"/>
    <w:rsid w:val="009E2EE4"/>
    <w:rsid w:val="009E4555"/>
    <w:rsid w:val="009E6CA2"/>
    <w:rsid w:val="009E7158"/>
    <w:rsid w:val="009F2013"/>
    <w:rsid w:val="009F2ADF"/>
    <w:rsid w:val="009F45F4"/>
    <w:rsid w:val="00A0161A"/>
    <w:rsid w:val="00A0250B"/>
    <w:rsid w:val="00A02F97"/>
    <w:rsid w:val="00A044AA"/>
    <w:rsid w:val="00A10469"/>
    <w:rsid w:val="00A123C4"/>
    <w:rsid w:val="00A14090"/>
    <w:rsid w:val="00A142EA"/>
    <w:rsid w:val="00A143F5"/>
    <w:rsid w:val="00A158B6"/>
    <w:rsid w:val="00A17AA9"/>
    <w:rsid w:val="00A24DAF"/>
    <w:rsid w:val="00A2521E"/>
    <w:rsid w:val="00A27263"/>
    <w:rsid w:val="00A274C9"/>
    <w:rsid w:val="00A306A4"/>
    <w:rsid w:val="00A313E4"/>
    <w:rsid w:val="00A37F9B"/>
    <w:rsid w:val="00A41EC7"/>
    <w:rsid w:val="00A43E44"/>
    <w:rsid w:val="00A4449C"/>
    <w:rsid w:val="00A51DC2"/>
    <w:rsid w:val="00A538A1"/>
    <w:rsid w:val="00A54808"/>
    <w:rsid w:val="00A57961"/>
    <w:rsid w:val="00A57B1A"/>
    <w:rsid w:val="00A65A59"/>
    <w:rsid w:val="00A6717C"/>
    <w:rsid w:val="00A70C14"/>
    <w:rsid w:val="00A70D49"/>
    <w:rsid w:val="00A72017"/>
    <w:rsid w:val="00A721EF"/>
    <w:rsid w:val="00A7260D"/>
    <w:rsid w:val="00A72EEC"/>
    <w:rsid w:val="00A75D13"/>
    <w:rsid w:val="00A81D06"/>
    <w:rsid w:val="00A84FBE"/>
    <w:rsid w:val="00A85687"/>
    <w:rsid w:val="00A85D83"/>
    <w:rsid w:val="00A90DB6"/>
    <w:rsid w:val="00A90DFE"/>
    <w:rsid w:val="00A94D2D"/>
    <w:rsid w:val="00A96A75"/>
    <w:rsid w:val="00AA114F"/>
    <w:rsid w:val="00AA1F8E"/>
    <w:rsid w:val="00AA284A"/>
    <w:rsid w:val="00AB0F75"/>
    <w:rsid w:val="00AB3C4C"/>
    <w:rsid w:val="00AC0193"/>
    <w:rsid w:val="00AC152A"/>
    <w:rsid w:val="00AC5381"/>
    <w:rsid w:val="00AC671F"/>
    <w:rsid w:val="00AD1EC3"/>
    <w:rsid w:val="00AD2C70"/>
    <w:rsid w:val="00AD3EB2"/>
    <w:rsid w:val="00AE04C5"/>
    <w:rsid w:val="00AF1AF8"/>
    <w:rsid w:val="00AF5E7D"/>
    <w:rsid w:val="00B01B20"/>
    <w:rsid w:val="00B01F10"/>
    <w:rsid w:val="00B0517E"/>
    <w:rsid w:val="00B051A3"/>
    <w:rsid w:val="00B12962"/>
    <w:rsid w:val="00B14A17"/>
    <w:rsid w:val="00B15B9E"/>
    <w:rsid w:val="00B208EF"/>
    <w:rsid w:val="00B22870"/>
    <w:rsid w:val="00B34A9B"/>
    <w:rsid w:val="00B350E1"/>
    <w:rsid w:val="00B45E50"/>
    <w:rsid w:val="00B46AE7"/>
    <w:rsid w:val="00B5104E"/>
    <w:rsid w:val="00B5109A"/>
    <w:rsid w:val="00B55D35"/>
    <w:rsid w:val="00B55E72"/>
    <w:rsid w:val="00B572B7"/>
    <w:rsid w:val="00B6016B"/>
    <w:rsid w:val="00B60FD8"/>
    <w:rsid w:val="00B648A0"/>
    <w:rsid w:val="00B66836"/>
    <w:rsid w:val="00B77B07"/>
    <w:rsid w:val="00B94734"/>
    <w:rsid w:val="00BA6966"/>
    <w:rsid w:val="00BB22FA"/>
    <w:rsid w:val="00BC7846"/>
    <w:rsid w:val="00BE2640"/>
    <w:rsid w:val="00BE44ED"/>
    <w:rsid w:val="00BE4530"/>
    <w:rsid w:val="00BE70D3"/>
    <w:rsid w:val="00BF26D7"/>
    <w:rsid w:val="00BF610E"/>
    <w:rsid w:val="00BF7423"/>
    <w:rsid w:val="00C0026D"/>
    <w:rsid w:val="00C0200F"/>
    <w:rsid w:val="00C12290"/>
    <w:rsid w:val="00C12AAF"/>
    <w:rsid w:val="00C16ED5"/>
    <w:rsid w:val="00C21DB7"/>
    <w:rsid w:val="00C222B2"/>
    <w:rsid w:val="00C22310"/>
    <w:rsid w:val="00C252B4"/>
    <w:rsid w:val="00C25510"/>
    <w:rsid w:val="00C25CAE"/>
    <w:rsid w:val="00C27B66"/>
    <w:rsid w:val="00C3278E"/>
    <w:rsid w:val="00C33232"/>
    <w:rsid w:val="00C52AC2"/>
    <w:rsid w:val="00C60491"/>
    <w:rsid w:val="00C61603"/>
    <w:rsid w:val="00C64547"/>
    <w:rsid w:val="00C70803"/>
    <w:rsid w:val="00C733A8"/>
    <w:rsid w:val="00C744FA"/>
    <w:rsid w:val="00C75114"/>
    <w:rsid w:val="00C76127"/>
    <w:rsid w:val="00C8030B"/>
    <w:rsid w:val="00C85C76"/>
    <w:rsid w:val="00C917DA"/>
    <w:rsid w:val="00C927D2"/>
    <w:rsid w:val="00C95321"/>
    <w:rsid w:val="00CA33E4"/>
    <w:rsid w:val="00CA3597"/>
    <w:rsid w:val="00CB1038"/>
    <w:rsid w:val="00CB1FB0"/>
    <w:rsid w:val="00CB339D"/>
    <w:rsid w:val="00CB48DA"/>
    <w:rsid w:val="00CB607F"/>
    <w:rsid w:val="00CB677A"/>
    <w:rsid w:val="00CB7132"/>
    <w:rsid w:val="00CC01DB"/>
    <w:rsid w:val="00CC3960"/>
    <w:rsid w:val="00CC4886"/>
    <w:rsid w:val="00CD0A93"/>
    <w:rsid w:val="00CD2998"/>
    <w:rsid w:val="00CD3C57"/>
    <w:rsid w:val="00CE618D"/>
    <w:rsid w:val="00CE747F"/>
    <w:rsid w:val="00CF5204"/>
    <w:rsid w:val="00D039E2"/>
    <w:rsid w:val="00D069D7"/>
    <w:rsid w:val="00D07269"/>
    <w:rsid w:val="00D1033E"/>
    <w:rsid w:val="00D104D2"/>
    <w:rsid w:val="00D165C9"/>
    <w:rsid w:val="00D25085"/>
    <w:rsid w:val="00D25FFE"/>
    <w:rsid w:val="00D26F37"/>
    <w:rsid w:val="00D27851"/>
    <w:rsid w:val="00D378B7"/>
    <w:rsid w:val="00D40606"/>
    <w:rsid w:val="00D4279E"/>
    <w:rsid w:val="00D43414"/>
    <w:rsid w:val="00D4543E"/>
    <w:rsid w:val="00D45D28"/>
    <w:rsid w:val="00D47B52"/>
    <w:rsid w:val="00D516FF"/>
    <w:rsid w:val="00D517DE"/>
    <w:rsid w:val="00D56B22"/>
    <w:rsid w:val="00D56BA5"/>
    <w:rsid w:val="00D57330"/>
    <w:rsid w:val="00D57D4A"/>
    <w:rsid w:val="00D65617"/>
    <w:rsid w:val="00D70EEC"/>
    <w:rsid w:val="00D71325"/>
    <w:rsid w:val="00D727CC"/>
    <w:rsid w:val="00D758EC"/>
    <w:rsid w:val="00D81168"/>
    <w:rsid w:val="00D87BE6"/>
    <w:rsid w:val="00D87CE9"/>
    <w:rsid w:val="00D91333"/>
    <w:rsid w:val="00D916BF"/>
    <w:rsid w:val="00D917A4"/>
    <w:rsid w:val="00DA06CF"/>
    <w:rsid w:val="00DA4B4C"/>
    <w:rsid w:val="00DB2B74"/>
    <w:rsid w:val="00DB3524"/>
    <w:rsid w:val="00DB3C76"/>
    <w:rsid w:val="00DC257A"/>
    <w:rsid w:val="00DC47F1"/>
    <w:rsid w:val="00DC5185"/>
    <w:rsid w:val="00DD198E"/>
    <w:rsid w:val="00DD4D1A"/>
    <w:rsid w:val="00DD613D"/>
    <w:rsid w:val="00DE1DE9"/>
    <w:rsid w:val="00DE1FE6"/>
    <w:rsid w:val="00DE3252"/>
    <w:rsid w:val="00DE6492"/>
    <w:rsid w:val="00DF59EE"/>
    <w:rsid w:val="00DF7B24"/>
    <w:rsid w:val="00E0019F"/>
    <w:rsid w:val="00E0191C"/>
    <w:rsid w:val="00E02509"/>
    <w:rsid w:val="00E030D0"/>
    <w:rsid w:val="00E066AE"/>
    <w:rsid w:val="00E10880"/>
    <w:rsid w:val="00E132D8"/>
    <w:rsid w:val="00E13662"/>
    <w:rsid w:val="00E15555"/>
    <w:rsid w:val="00E2022A"/>
    <w:rsid w:val="00E2184E"/>
    <w:rsid w:val="00E24938"/>
    <w:rsid w:val="00E259F0"/>
    <w:rsid w:val="00E260B9"/>
    <w:rsid w:val="00E2709A"/>
    <w:rsid w:val="00E3071C"/>
    <w:rsid w:val="00E31233"/>
    <w:rsid w:val="00E46532"/>
    <w:rsid w:val="00E46D49"/>
    <w:rsid w:val="00E50E29"/>
    <w:rsid w:val="00E5128A"/>
    <w:rsid w:val="00E60E43"/>
    <w:rsid w:val="00E7018C"/>
    <w:rsid w:val="00E707C1"/>
    <w:rsid w:val="00E71D04"/>
    <w:rsid w:val="00E726F2"/>
    <w:rsid w:val="00E7387A"/>
    <w:rsid w:val="00E74367"/>
    <w:rsid w:val="00E74AF9"/>
    <w:rsid w:val="00E8046B"/>
    <w:rsid w:val="00E86E07"/>
    <w:rsid w:val="00E9383B"/>
    <w:rsid w:val="00EA0CD7"/>
    <w:rsid w:val="00EA33B4"/>
    <w:rsid w:val="00EA5BEA"/>
    <w:rsid w:val="00EB05A8"/>
    <w:rsid w:val="00EB339C"/>
    <w:rsid w:val="00EB764B"/>
    <w:rsid w:val="00EC1262"/>
    <w:rsid w:val="00EC78F5"/>
    <w:rsid w:val="00ED00B3"/>
    <w:rsid w:val="00ED6C5C"/>
    <w:rsid w:val="00ED7A29"/>
    <w:rsid w:val="00EE110A"/>
    <w:rsid w:val="00EE34AF"/>
    <w:rsid w:val="00EE4568"/>
    <w:rsid w:val="00EE49B9"/>
    <w:rsid w:val="00EF1D3D"/>
    <w:rsid w:val="00EF285B"/>
    <w:rsid w:val="00EF52DE"/>
    <w:rsid w:val="00F0371E"/>
    <w:rsid w:val="00F03CC3"/>
    <w:rsid w:val="00F07122"/>
    <w:rsid w:val="00F1143A"/>
    <w:rsid w:val="00F17703"/>
    <w:rsid w:val="00F32F0D"/>
    <w:rsid w:val="00F336EA"/>
    <w:rsid w:val="00F36AEC"/>
    <w:rsid w:val="00F37775"/>
    <w:rsid w:val="00F408E3"/>
    <w:rsid w:val="00F414CE"/>
    <w:rsid w:val="00F452AC"/>
    <w:rsid w:val="00F50513"/>
    <w:rsid w:val="00F523DC"/>
    <w:rsid w:val="00F553AF"/>
    <w:rsid w:val="00F56A18"/>
    <w:rsid w:val="00F639F8"/>
    <w:rsid w:val="00F65360"/>
    <w:rsid w:val="00F7139B"/>
    <w:rsid w:val="00F73227"/>
    <w:rsid w:val="00F73D8C"/>
    <w:rsid w:val="00F74D13"/>
    <w:rsid w:val="00F775FE"/>
    <w:rsid w:val="00F80921"/>
    <w:rsid w:val="00F839DC"/>
    <w:rsid w:val="00F8415F"/>
    <w:rsid w:val="00F84BDD"/>
    <w:rsid w:val="00F87A80"/>
    <w:rsid w:val="00F92B5C"/>
    <w:rsid w:val="00F95060"/>
    <w:rsid w:val="00F9515C"/>
    <w:rsid w:val="00FA13DB"/>
    <w:rsid w:val="00FA1DEC"/>
    <w:rsid w:val="00FA4FF2"/>
    <w:rsid w:val="00FA5383"/>
    <w:rsid w:val="00FA64E3"/>
    <w:rsid w:val="00FB081C"/>
    <w:rsid w:val="00FB2D80"/>
    <w:rsid w:val="00FB3298"/>
    <w:rsid w:val="00FB40B1"/>
    <w:rsid w:val="00FB551A"/>
    <w:rsid w:val="00FB5602"/>
    <w:rsid w:val="00FB5E06"/>
    <w:rsid w:val="00FC0405"/>
    <w:rsid w:val="00FC1BB5"/>
    <w:rsid w:val="00FC51C1"/>
    <w:rsid w:val="00FC741E"/>
    <w:rsid w:val="00FD4515"/>
    <w:rsid w:val="00FD65A0"/>
    <w:rsid w:val="00FD682B"/>
    <w:rsid w:val="00FE248F"/>
    <w:rsid w:val="00FE5AE8"/>
    <w:rsid w:val="00FE5D1E"/>
    <w:rsid w:val="00FF0EDC"/>
    <w:rsid w:val="00FF135C"/>
    <w:rsid w:val="00FF5907"/>
    <w:rsid w:val="00FF77C8"/>
    <w:rsid w:val="00FF7A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368BC3"/>
  <w14:defaultImageDpi w14:val="300"/>
  <w15:docId w15:val="{F25C6023-81BC-421F-9EA2-2D67C2A6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85"/>
    <w:rPr>
      <w:rFonts w:ascii="Arial" w:hAnsi="Arial"/>
      <w:color w:val="000000" w:themeColor="text1"/>
      <w:lang w:val="en-AU"/>
    </w:rPr>
  </w:style>
  <w:style w:type="paragraph" w:styleId="Heading1">
    <w:name w:val="heading 1"/>
    <w:basedOn w:val="Normal"/>
    <w:next w:val="Normal"/>
    <w:link w:val="Heading1Char"/>
    <w:uiPriority w:val="9"/>
    <w:qFormat/>
    <w:rsid w:val="00535C6D"/>
    <w:pPr>
      <w:keepNext/>
      <w:keepLines/>
      <w:spacing w:before="480" w:after="240" w:line="240" w:lineRule="auto"/>
      <w:outlineLvl w:val="0"/>
    </w:pPr>
    <w:rPr>
      <w:rFonts w:eastAsiaTheme="majorEastAsia" w:cstheme="majorBidi"/>
      <w:b/>
      <w:bCs/>
      <w:color w:val="auto"/>
      <w:sz w:val="36"/>
      <w:szCs w:val="28"/>
      <w:u w:val="single" w:color="FD4F00"/>
    </w:rPr>
  </w:style>
  <w:style w:type="paragraph" w:styleId="Heading2">
    <w:name w:val="heading 2"/>
    <w:basedOn w:val="Normal"/>
    <w:next w:val="Normal"/>
    <w:link w:val="Heading2Char"/>
    <w:uiPriority w:val="9"/>
    <w:unhideWhenUsed/>
    <w:qFormat/>
    <w:rsid w:val="00056612"/>
    <w:pPr>
      <w:keepNext/>
      <w:keepLines/>
      <w:spacing w:before="200" w:after="120"/>
      <w:outlineLvl w:val="1"/>
    </w:pPr>
    <w:rPr>
      <w:rFonts w:ascii="DM Sans" w:eastAsiaTheme="majorEastAsia" w:hAnsi="DM Sans" w:cstheme="majorBidi"/>
      <w:b/>
      <w:bCs/>
      <w:sz w:val="28"/>
      <w:szCs w:val="26"/>
      <w:u w:val="single" w:color="FF79FF"/>
    </w:rPr>
  </w:style>
  <w:style w:type="paragraph" w:styleId="Heading3">
    <w:name w:val="heading 3"/>
    <w:basedOn w:val="Normal"/>
    <w:next w:val="Normal"/>
    <w:link w:val="Heading3Char"/>
    <w:autoRedefine/>
    <w:uiPriority w:val="9"/>
    <w:unhideWhenUsed/>
    <w:qFormat/>
    <w:rsid w:val="00056612"/>
    <w:pPr>
      <w:keepNext/>
      <w:keepLines/>
      <w:spacing w:before="200" w:after="120" w:line="288" w:lineRule="atLeast"/>
      <w:outlineLvl w:val="2"/>
    </w:pPr>
    <w:rPr>
      <w:rFonts w:ascii="DM Sans" w:eastAsiaTheme="majorEastAsia" w:hAnsi="DM Sans" w:cs="Calibri Light"/>
      <w:b/>
      <w:bCs/>
      <w:szCs w:val="44"/>
      <w:u w:val="single" w:color="7800FF"/>
    </w:rPr>
  </w:style>
  <w:style w:type="paragraph" w:styleId="Heading4">
    <w:name w:val="heading 4"/>
    <w:basedOn w:val="Normal"/>
    <w:next w:val="Normal"/>
    <w:link w:val="Heading4Char"/>
    <w:uiPriority w:val="9"/>
    <w:unhideWhenUsed/>
    <w:qFormat/>
    <w:rsid w:val="00056612"/>
    <w:pPr>
      <w:keepNext/>
      <w:keepLines/>
      <w:spacing w:before="200" w:after="120"/>
      <w:outlineLvl w:val="3"/>
    </w:pPr>
    <w:rPr>
      <w:rFonts w:ascii="DM Sans" w:eastAsiaTheme="majorEastAsia" w:hAnsi="DM Sans" w:cstheme="majorBidi"/>
      <w:b/>
      <w:bCs/>
      <w:iCs/>
    </w:rPr>
  </w:style>
  <w:style w:type="paragraph" w:styleId="Heading5">
    <w:name w:val="heading 5"/>
    <w:basedOn w:val="Normal"/>
    <w:next w:val="Normal"/>
    <w:link w:val="Heading5Char"/>
    <w:uiPriority w:val="9"/>
    <w:unhideWhenUsed/>
    <w:rsid w:val="00E3071C"/>
    <w:pPr>
      <w:keepNext/>
      <w:keepLines/>
      <w:spacing w:before="200" w:after="0"/>
      <w:outlineLvl w:val="4"/>
    </w:pPr>
    <w:rPr>
      <w:rFonts w:asciiTheme="majorHAnsi" w:eastAsiaTheme="majorEastAsia" w:hAnsiTheme="majorHAnsi" w:cstheme="majorBidi"/>
      <w:color w:val="1F2044"/>
    </w:rPr>
  </w:style>
  <w:style w:type="paragraph" w:styleId="Heading6">
    <w:name w:val="heading 6"/>
    <w:basedOn w:val="Normal"/>
    <w:next w:val="Normal"/>
    <w:link w:val="Heading6Char"/>
    <w:uiPriority w:val="9"/>
    <w:semiHidden/>
    <w:unhideWhenUsed/>
    <w:rsid w:val="00ED00B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D00B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D00B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ED00B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2B7E18"/>
    <w:pPr>
      <w:spacing w:after="0" w:line="240" w:lineRule="auto"/>
    </w:pPr>
    <w:rPr>
      <w:rFonts w:ascii="Gotham Book" w:hAnsi="Gotham Book"/>
      <w:color w:val="17365D" w:themeColor="text2" w:themeShade="BF"/>
    </w:rPr>
  </w:style>
  <w:style w:type="character" w:customStyle="1" w:styleId="Heading2Char">
    <w:name w:val="Heading 2 Char"/>
    <w:basedOn w:val="DefaultParagraphFont"/>
    <w:link w:val="Heading2"/>
    <w:uiPriority w:val="9"/>
    <w:rsid w:val="00056612"/>
    <w:rPr>
      <w:rFonts w:ascii="DM Sans" w:eastAsiaTheme="majorEastAsia" w:hAnsi="DM Sans" w:cstheme="majorBidi"/>
      <w:b/>
      <w:bCs/>
      <w:color w:val="000000" w:themeColor="text1"/>
      <w:sz w:val="28"/>
      <w:szCs w:val="26"/>
      <w:u w:val="single" w:color="FF79FF"/>
      <w:lang w:val="en-AU"/>
    </w:rPr>
  </w:style>
  <w:style w:type="paragraph" w:styleId="TOC1">
    <w:name w:val="toc 1"/>
    <w:basedOn w:val="Normal"/>
    <w:next w:val="Normal"/>
    <w:autoRedefine/>
    <w:uiPriority w:val="39"/>
    <w:unhideWhenUsed/>
    <w:rsid w:val="009B7624"/>
    <w:pPr>
      <w:tabs>
        <w:tab w:val="right" w:leader="dot" w:pos="9010"/>
      </w:tabs>
      <w:spacing w:after="100"/>
    </w:pPr>
  </w:style>
  <w:style w:type="character" w:customStyle="1" w:styleId="Heading1Char">
    <w:name w:val="Heading 1 Char"/>
    <w:basedOn w:val="DefaultParagraphFont"/>
    <w:link w:val="Heading1"/>
    <w:uiPriority w:val="9"/>
    <w:rsid w:val="00535C6D"/>
    <w:rPr>
      <w:rFonts w:ascii="Arial" w:eastAsiaTheme="majorEastAsia" w:hAnsi="Arial" w:cstheme="majorBidi"/>
      <w:b/>
      <w:bCs/>
      <w:sz w:val="36"/>
      <w:szCs w:val="28"/>
      <w:u w:val="single" w:color="FD4F00"/>
      <w:lang w:val="en-AU"/>
    </w:rPr>
  </w:style>
  <w:style w:type="character" w:customStyle="1" w:styleId="Heading3Char">
    <w:name w:val="Heading 3 Char"/>
    <w:basedOn w:val="DefaultParagraphFont"/>
    <w:link w:val="Heading3"/>
    <w:uiPriority w:val="9"/>
    <w:rsid w:val="00056612"/>
    <w:rPr>
      <w:rFonts w:ascii="DM Sans" w:eastAsiaTheme="majorEastAsia" w:hAnsi="DM Sans" w:cs="Calibri Light"/>
      <w:b/>
      <w:bCs/>
      <w:color w:val="000000" w:themeColor="text1"/>
      <w:szCs w:val="44"/>
      <w:u w:val="single" w:color="7800FF"/>
      <w:lang w:val="en-AU"/>
    </w:rPr>
  </w:style>
  <w:style w:type="character" w:customStyle="1" w:styleId="Heading4Char">
    <w:name w:val="Heading 4 Char"/>
    <w:basedOn w:val="DefaultParagraphFont"/>
    <w:link w:val="Heading4"/>
    <w:uiPriority w:val="9"/>
    <w:rsid w:val="00056612"/>
    <w:rPr>
      <w:rFonts w:ascii="DM Sans" w:eastAsiaTheme="majorEastAsia" w:hAnsi="DM Sans" w:cstheme="majorBidi"/>
      <w:b/>
      <w:bCs/>
      <w:iCs/>
      <w:color w:val="000000" w:themeColor="text1"/>
      <w:lang w:val="en-AU"/>
    </w:rPr>
  </w:style>
  <w:style w:type="paragraph" w:styleId="Title">
    <w:name w:val="Title"/>
    <w:basedOn w:val="Normal"/>
    <w:next w:val="Normal"/>
    <w:link w:val="TitleChar"/>
    <w:uiPriority w:val="10"/>
    <w:qFormat/>
    <w:rsid w:val="008C4A52"/>
    <w:pPr>
      <w:pBdr>
        <w:bottom w:val="single" w:sz="8" w:space="4" w:color="4F81BD" w:themeColor="accent1"/>
      </w:pBdr>
      <w:spacing w:after="300" w:line="240" w:lineRule="auto"/>
      <w:contextualSpacing/>
    </w:pPr>
    <w:rPr>
      <w:rFonts w:eastAsiaTheme="majorEastAsia" w:cstheme="majorBidi"/>
      <w:b/>
      <w:spacing w:val="5"/>
      <w:kern w:val="28"/>
      <w:sz w:val="96"/>
      <w:szCs w:val="52"/>
      <w:u w:val="thick" w:color="FD4F00"/>
    </w:rPr>
  </w:style>
  <w:style w:type="character" w:customStyle="1" w:styleId="TitleChar">
    <w:name w:val="Title Char"/>
    <w:basedOn w:val="DefaultParagraphFont"/>
    <w:link w:val="Title"/>
    <w:uiPriority w:val="10"/>
    <w:rsid w:val="008C4A52"/>
    <w:rPr>
      <w:rFonts w:ascii="Arial" w:eastAsiaTheme="majorEastAsia" w:hAnsi="Arial" w:cstheme="majorBidi"/>
      <w:b/>
      <w:color w:val="000000" w:themeColor="text1"/>
      <w:spacing w:val="5"/>
      <w:kern w:val="28"/>
      <w:sz w:val="96"/>
      <w:szCs w:val="52"/>
      <w:u w:val="thick" w:color="FD4F00"/>
      <w:lang w:val="en-AU"/>
    </w:rPr>
  </w:style>
  <w:style w:type="paragraph" w:styleId="Subtitle">
    <w:name w:val="Subtitle"/>
    <w:basedOn w:val="Normal"/>
    <w:next w:val="Normal"/>
    <w:link w:val="SubtitleChar"/>
    <w:uiPriority w:val="11"/>
    <w:rsid w:val="002B7E18"/>
    <w:pPr>
      <w:numPr>
        <w:ilvl w:val="1"/>
      </w:numPr>
    </w:pPr>
    <w:rPr>
      <w:rFonts w:ascii="Gotham Extra Light Italic" w:eastAsiaTheme="majorEastAsia" w:hAnsi="Gotham Extra Light Italic" w:cstheme="majorBidi"/>
      <w:iCs/>
      <w:color w:val="4F81BD" w:themeColor="accent1"/>
      <w:spacing w:val="15"/>
      <w:sz w:val="24"/>
      <w:szCs w:val="24"/>
    </w:rPr>
  </w:style>
  <w:style w:type="character" w:customStyle="1" w:styleId="SubtitleChar">
    <w:name w:val="Subtitle Char"/>
    <w:basedOn w:val="DefaultParagraphFont"/>
    <w:link w:val="Subtitle"/>
    <w:uiPriority w:val="11"/>
    <w:rsid w:val="002B7E18"/>
    <w:rPr>
      <w:rFonts w:ascii="Gotham Extra Light Italic" w:eastAsiaTheme="majorEastAsia" w:hAnsi="Gotham Extra Light Italic" w:cstheme="majorBidi"/>
      <w:iCs/>
      <w:color w:val="4F81BD" w:themeColor="accent1"/>
      <w:spacing w:val="15"/>
      <w:sz w:val="24"/>
      <w:szCs w:val="24"/>
    </w:rPr>
  </w:style>
  <w:style w:type="character" w:styleId="SubtleEmphasis">
    <w:name w:val="Subtle Emphasis"/>
    <w:basedOn w:val="DefaultParagraphFont"/>
    <w:uiPriority w:val="19"/>
    <w:rsid w:val="002D31E1"/>
    <w:rPr>
      <w:rFonts w:ascii="Calibri Light" w:hAnsi="Calibri Light"/>
      <w:i/>
      <w:iCs/>
      <w:color w:val="393D61"/>
    </w:rPr>
  </w:style>
  <w:style w:type="character" w:styleId="Emphasis">
    <w:name w:val="Emphasis"/>
    <w:basedOn w:val="DefaultParagraphFont"/>
    <w:uiPriority w:val="20"/>
    <w:rsid w:val="00E3071C"/>
    <w:rPr>
      <w:i/>
      <w:iCs/>
      <w:color w:val="ED6778"/>
    </w:rPr>
  </w:style>
  <w:style w:type="character" w:styleId="IntenseEmphasis">
    <w:name w:val="Intense Emphasis"/>
    <w:basedOn w:val="DefaultParagraphFont"/>
    <w:uiPriority w:val="21"/>
    <w:rsid w:val="00E3071C"/>
    <w:rPr>
      <w:rFonts w:ascii="Gotham Medium Italic" w:hAnsi="Gotham Medium Italic"/>
      <w:bCs/>
      <w:iCs/>
      <w:color w:val="ED6778"/>
    </w:rPr>
  </w:style>
  <w:style w:type="character" w:styleId="Strong">
    <w:name w:val="Strong"/>
    <w:basedOn w:val="DefaultParagraphFont"/>
    <w:uiPriority w:val="22"/>
    <w:rsid w:val="00ED00B3"/>
    <w:rPr>
      <w:b/>
      <w:bCs/>
    </w:rPr>
  </w:style>
  <w:style w:type="character" w:customStyle="1" w:styleId="Heading5Char">
    <w:name w:val="Heading 5 Char"/>
    <w:basedOn w:val="DefaultParagraphFont"/>
    <w:link w:val="Heading5"/>
    <w:uiPriority w:val="9"/>
    <w:rsid w:val="00E3071C"/>
    <w:rPr>
      <w:rFonts w:asciiTheme="majorHAnsi" w:eastAsiaTheme="majorEastAsia" w:hAnsiTheme="majorHAnsi" w:cstheme="majorBidi"/>
      <w:color w:val="1F2044"/>
    </w:rPr>
  </w:style>
  <w:style w:type="character" w:customStyle="1" w:styleId="Heading6Char">
    <w:name w:val="Heading 6 Char"/>
    <w:basedOn w:val="DefaultParagraphFont"/>
    <w:link w:val="Heading6"/>
    <w:uiPriority w:val="9"/>
    <w:semiHidden/>
    <w:rsid w:val="00ED00B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D00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D00B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ED00B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D00B3"/>
    <w:pPr>
      <w:spacing w:line="240" w:lineRule="auto"/>
    </w:pPr>
    <w:rPr>
      <w:rFonts w:ascii="Gotham Book" w:hAnsi="Gotham Book"/>
      <w:b/>
      <w:bCs/>
      <w:color w:val="4F81BD" w:themeColor="accent1"/>
      <w:sz w:val="18"/>
      <w:szCs w:val="18"/>
    </w:rPr>
  </w:style>
  <w:style w:type="character" w:customStyle="1" w:styleId="NoSpacingChar">
    <w:name w:val="No Spacing Char"/>
    <w:basedOn w:val="DefaultParagraphFont"/>
    <w:link w:val="NoSpacing"/>
    <w:uiPriority w:val="1"/>
    <w:rsid w:val="002B7E18"/>
    <w:rPr>
      <w:rFonts w:ascii="Gotham Book" w:hAnsi="Gotham Book"/>
      <w:color w:val="17365D" w:themeColor="text2" w:themeShade="BF"/>
    </w:rPr>
  </w:style>
  <w:style w:type="paragraph" w:styleId="ListParagraph">
    <w:name w:val="List Paragraph"/>
    <w:basedOn w:val="Normal"/>
    <w:link w:val="ListParagraphChar"/>
    <w:uiPriority w:val="34"/>
    <w:qFormat/>
    <w:rsid w:val="00ED00B3"/>
    <w:pPr>
      <w:ind w:left="720"/>
      <w:contextualSpacing/>
    </w:pPr>
    <w:rPr>
      <w:rFonts w:ascii="Gotham Book" w:hAnsi="Gotham Book"/>
    </w:rPr>
  </w:style>
  <w:style w:type="paragraph" w:styleId="Quote">
    <w:name w:val="Quote"/>
    <w:basedOn w:val="Normal"/>
    <w:next w:val="Normal"/>
    <w:link w:val="QuoteChar"/>
    <w:uiPriority w:val="29"/>
    <w:rsid w:val="00ED00B3"/>
    <w:rPr>
      <w:rFonts w:ascii="Gotham Book" w:hAnsi="Gotham Book"/>
      <w:i/>
      <w:iCs/>
    </w:rPr>
  </w:style>
  <w:style w:type="character" w:customStyle="1" w:styleId="QuoteChar">
    <w:name w:val="Quote Char"/>
    <w:basedOn w:val="DefaultParagraphFont"/>
    <w:link w:val="Quote"/>
    <w:uiPriority w:val="29"/>
    <w:rsid w:val="00ED00B3"/>
    <w:rPr>
      <w:i/>
      <w:iCs/>
      <w:color w:val="000000" w:themeColor="text1"/>
    </w:rPr>
  </w:style>
  <w:style w:type="paragraph" w:styleId="IntenseQuote">
    <w:name w:val="Intense Quote"/>
    <w:basedOn w:val="Normal"/>
    <w:next w:val="Normal"/>
    <w:link w:val="IntenseQuoteChar"/>
    <w:uiPriority w:val="30"/>
    <w:rsid w:val="00ED00B3"/>
    <w:pPr>
      <w:pBdr>
        <w:bottom w:val="single" w:sz="4" w:space="4" w:color="4F81BD" w:themeColor="accent1"/>
      </w:pBdr>
      <w:spacing w:before="200" w:after="280"/>
      <w:ind w:left="936" w:right="936"/>
    </w:pPr>
    <w:rPr>
      <w:rFonts w:ascii="Gotham Book" w:hAnsi="Gotham Book"/>
      <w:b/>
      <w:bCs/>
      <w:i/>
      <w:iCs/>
      <w:color w:val="4F81BD" w:themeColor="accent1"/>
    </w:rPr>
  </w:style>
  <w:style w:type="character" w:customStyle="1" w:styleId="IntenseQuoteChar">
    <w:name w:val="Intense Quote Char"/>
    <w:basedOn w:val="DefaultParagraphFont"/>
    <w:link w:val="IntenseQuote"/>
    <w:uiPriority w:val="30"/>
    <w:rsid w:val="00ED00B3"/>
    <w:rPr>
      <w:b/>
      <w:bCs/>
      <w:i/>
      <w:iCs/>
      <w:color w:val="4F81BD" w:themeColor="accent1"/>
    </w:rPr>
  </w:style>
  <w:style w:type="character" w:styleId="SubtleReference">
    <w:name w:val="Subtle Reference"/>
    <w:basedOn w:val="DefaultParagraphFont"/>
    <w:uiPriority w:val="31"/>
    <w:rsid w:val="00ED00B3"/>
    <w:rPr>
      <w:smallCaps/>
      <w:color w:val="C0504D" w:themeColor="accent2"/>
      <w:u w:val="single"/>
    </w:rPr>
  </w:style>
  <w:style w:type="character" w:styleId="IntenseReference">
    <w:name w:val="Intense Reference"/>
    <w:basedOn w:val="DefaultParagraphFont"/>
    <w:uiPriority w:val="32"/>
    <w:rsid w:val="00ED00B3"/>
    <w:rPr>
      <w:b/>
      <w:bCs/>
      <w:smallCaps/>
      <w:color w:val="C0504D" w:themeColor="accent2"/>
      <w:spacing w:val="5"/>
      <w:u w:val="single"/>
    </w:rPr>
  </w:style>
  <w:style w:type="character" w:styleId="BookTitle">
    <w:name w:val="Book Title"/>
    <w:basedOn w:val="DefaultParagraphFont"/>
    <w:uiPriority w:val="33"/>
    <w:rsid w:val="00ED00B3"/>
    <w:rPr>
      <w:b/>
      <w:bCs/>
      <w:smallCaps/>
      <w:spacing w:val="5"/>
    </w:rPr>
  </w:style>
  <w:style w:type="paragraph" w:styleId="TOCHeading">
    <w:name w:val="TOC Heading"/>
    <w:basedOn w:val="Heading1"/>
    <w:next w:val="Normal"/>
    <w:uiPriority w:val="39"/>
    <w:unhideWhenUsed/>
    <w:qFormat/>
    <w:rsid w:val="00ED00B3"/>
    <w:pPr>
      <w:outlineLvl w:val="9"/>
    </w:pPr>
  </w:style>
  <w:style w:type="table" w:styleId="TableGrid">
    <w:name w:val="Table Grid"/>
    <w:basedOn w:val="TableNormal"/>
    <w:uiPriority w:val="59"/>
    <w:rsid w:val="00DA0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FF79FF"/>
      </w:rPr>
    </w:tblStylePr>
  </w:style>
  <w:style w:type="table" w:styleId="LightList-Accent2">
    <w:name w:val="Light List Accent 2"/>
    <w:basedOn w:val="TableNormal"/>
    <w:uiPriority w:val="61"/>
    <w:rsid w:val="006D4F8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6D4F8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5">
    <w:name w:val="Light List Accent 5"/>
    <w:basedOn w:val="TableNormal"/>
    <w:uiPriority w:val="61"/>
    <w:rsid w:val="006D4F8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
    <w:name w:val="Light List"/>
    <w:basedOn w:val="TableNormal"/>
    <w:uiPriority w:val="61"/>
    <w:rsid w:val="008834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8834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List1-Accent1">
    <w:name w:val="Medium List 1 Accent 1"/>
    <w:basedOn w:val="TableNormal"/>
    <w:uiPriority w:val="65"/>
    <w:rsid w:val="008834C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Header">
    <w:name w:val="header"/>
    <w:basedOn w:val="Normal"/>
    <w:link w:val="HeaderChar"/>
    <w:uiPriority w:val="99"/>
    <w:unhideWhenUsed/>
    <w:rsid w:val="00E02509"/>
    <w:pPr>
      <w:tabs>
        <w:tab w:val="center" w:pos="4320"/>
        <w:tab w:val="right" w:pos="8640"/>
      </w:tabs>
      <w:spacing w:after="0" w:line="240" w:lineRule="auto"/>
    </w:pPr>
    <w:rPr>
      <w:rFonts w:ascii="Gotham Book" w:hAnsi="Gotham Book"/>
    </w:rPr>
  </w:style>
  <w:style w:type="character" w:customStyle="1" w:styleId="HeaderChar">
    <w:name w:val="Header Char"/>
    <w:basedOn w:val="DefaultParagraphFont"/>
    <w:link w:val="Header"/>
    <w:uiPriority w:val="99"/>
    <w:rsid w:val="00E02509"/>
    <w:rPr>
      <w:rFonts w:ascii="Gotham Book" w:hAnsi="Gotham Book"/>
      <w:color w:val="17365D" w:themeColor="text2" w:themeShade="BF"/>
    </w:rPr>
  </w:style>
  <w:style w:type="paragraph" w:styleId="Footer">
    <w:name w:val="footer"/>
    <w:basedOn w:val="Normal"/>
    <w:link w:val="FooterChar"/>
    <w:uiPriority w:val="99"/>
    <w:unhideWhenUsed/>
    <w:rsid w:val="00E02509"/>
    <w:pPr>
      <w:tabs>
        <w:tab w:val="center" w:pos="4320"/>
        <w:tab w:val="right" w:pos="8640"/>
      </w:tabs>
      <w:spacing w:after="0" w:line="240" w:lineRule="auto"/>
    </w:pPr>
    <w:rPr>
      <w:rFonts w:ascii="Gotham Book" w:hAnsi="Gotham Book"/>
    </w:rPr>
  </w:style>
  <w:style w:type="character" w:customStyle="1" w:styleId="FooterChar">
    <w:name w:val="Footer Char"/>
    <w:basedOn w:val="DefaultParagraphFont"/>
    <w:link w:val="Footer"/>
    <w:uiPriority w:val="99"/>
    <w:rsid w:val="00E02509"/>
    <w:rPr>
      <w:rFonts w:ascii="Gotham Book" w:hAnsi="Gotham Book"/>
      <w:color w:val="17365D" w:themeColor="text2" w:themeShade="BF"/>
    </w:rPr>
  </w:style>
  <w:style w:type="paragraph" w:styleId="BalloonText">
    <w:name w:val="Balloon Text"/>
    <w:basedOn w:val="Normal"/>
    <w:link w:val="BalloonTextChar"/>
    <w:uiPriority w:val="99"/>
    <w:semiHidden/>
    <w:unhideWhenUsed/>
    <w:rsid w:val="00E0250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2509"/>
    <w:rPr>
      <w:rFonts w:ascii="Lucida Grande" w:hAnsi="Lucida Grande" w:cs="Lucida Grande"/>
      <w:color w:val="17365D" w:themeColor="text2" w:themeShade="BF"/>
      <w:sz w:val="18"/>
      <w:szCs w:val="18"/>
    </w:rPr>
  </w:style>
  <w:style w:type="paragraph" w:customStyle="1" w:styleId="Body">
    <w:name w:val="Body"/>
    <w:rsid w:val="004C5F89"/>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table" w:customStyle="1" w:styleId="TableGrid1">
    <w:name w:val="Table Grid1"/>
    <w:basedOn w:val="TableNormal"/>
    <w:next w:val="TableGrid"/>
    <w:uiPriority w:val="59"/>
    <w:rsid w:val="00EB05A8"/>
    <w:pPr>
      <w:spacing w:after="0" w:line="240" w:lineRule="auto"/>
    </w:pPr>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27659"/>
    <w:rPr>
      <w:sz w:val="16"/>
      <w:szCs w:val="16"/>
    </w:rPr>
  </w:style>
  <w:style w:type="paragraph" w:styleId="CommentText">
    <w:name w:val="annotation text"/>
    <w:basedOn w:val="Normal"/>
    <w:link w:val="CommentTextChar"/>
    <w:uiPriority w:val="99"/>
    <w:semiHidden/>
    <w:unhideWhenUsed/>
    <w:rsid w:val="00727659"/>
    <w:pPr>
      <w:spacing w:line="240" w:lineRule="auto"/>
    </w:pPr>
    <w:rPr>
      <w:rFonts w:ascii="Gotham Book" w:hAnsi="Gotham Book"/>
      <w:sz w:val="20"/>
      <w:szCs w:val="20"/>
    </w:rPr>
  </w:style>
  <w:style w:type="character" w:customStyle="1" w:styleId="CommentTextChar">
    <w:name w:val="Comment Text Char"/>
    <w:basedOn w:val="DefaultParagraphFont"/>
    <w:link w:val="CommentText"/>
    <w:uiPriority w:val="99"/>
    <w:semiHidden/>
    <w:rsid w:val="00727659"/>
    <w:rPr>
      <w:rFonts w:ascii="Gotham Book" w:hAnsi="Gotham Book"/>
      <w:color w:val="17365D" w:themeColor="text2" w:themeShade="BF"/>
      <w:sz w:val="20"/>
      <w:szCs w:val="20"/>
    </w:rPr>
  </w:style>
  <w:style w:type="paragraph" w:styleId="CommentSubject">
    <w:name w:val="annotation subject"/>
    <w:basedOn w:val="CommentText"/>
    <w:next w:val="CommentText"/>
    <w:link w:val="CommentSubjectChar"/>
    <w:uiPriority w:val="99"/>
    <w:semiHidden/>
    <w:unhideWhenUsed/>
    <w:rsid w:val="00727659"/>
    <w:rPr>
      <w:b/>
      <w:bCs/>
    </w:rPr>
  </w:style>
  <w:style w:type="character" w:customStyle="1" w:styleId="CommentSubjectChar">
    <w:name w:val="Comment Subject Char"/>
    <w:basedOn w:val="CommentTextChar"/>
    <w:link w:val="CommentSubject"/>
    <w:uiPriority w:val="99"/>
    <w:semiHidden/>
    <w:rsid w:val="00727659"/>
    <w:rPr>
      <w:rFonts w:ascii="Gotham Book" w:hAnsi="Gotham Book"/>
      <w:b/>
      <w:bCs/>
      <w:color w:val="17365D" w:themeColor="text2" w:themeShade="BF"/>
      <w:sz w:val="20"/>
      <w:szCs w:val="20"/>
    </w:rPr>
  </w:style>
  <w:style w:type="table" w:customStyle="1" w:styleId="TableGrid2">
    <w:name w:val="Table Grid2"/>
    <w:basedOn w:val="TableNormal"/>
    <w:next w:val="TableGrid"/>
    <w:uiPriority w:val="39"/>
    <w:rsid w:val="003C0FCA"/>
    <w:pPr>
      <w:spacing w:after="0" w:line="240" w:lineRule="auto"/>
    </w:pPr>
    <w:rPr>
      <w:rFonts w:eastAsia="Calibr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85687"/>
    <w:pPr>
      <w:spacing w:after="0" w:line="240" w:lineRule="auto"/>
    </w:pPr>
    <w:rPr>
      <w:rFonts w:ascii="Gotham Book" w:hAnsi="Gotham Book"/>
      <w:sz w:val="20"/>
      <w:szCs w:val="20"/>
    </w:rPr>
  </w:style>
  <w:style w:type="character" w:customStyle="1" w:styleId="FootnoteTextChar">
    <w:name w:val="Footnote Text Char"/>
    <w:basedOn w:val="DefaultParagraphFont"/>
    <w:link w:val="FootnoteText"/>
    <w:uiPriority w:val="99"/>
    <w:semiHidden/>
    <w:rsid w:val="00A85687"/>
    <w:rPr>
      <w:rFonts w:ascii="Gotham Book" w:hAnsi="Gotham Book"/>
      <w:color w:val="17365D" w:themeColor="text2" w:themeShade="BF"/>
      <w:sz w:val="20"/>
      <w:szCs w:val="20"/>
    </w:rPr>
  </w:style>
  <w:style w:type="character" w:styleId="FootnoteReference">
    <w:name w:val="footnote reference"/>
    <w:aliases w:val="NO,Footnotes refss,Footnote number,Footnote,4_G,Ref,de nota al pie,opcalrc,callout,4_G Char Char Char Char,Footnotes refss Char Char Char Char,ftref Char Char Char Char,BVI fnr Char Char Char Char,BVI fnr Car Car Char Char Char Char,f"/>
    <w:basedOn w:val="DefaultParagraphFont"/>
    <w:link w:val="4GCharCharChar"/>
    <w:uiPriority w:val="99"/>
    <w:unhideWhenUsed/>
    <w:qFormat/>
    <w:rsid w:val="00A85687"/>
    <w:rPr>
      <w:vertAlign w:val="superscript"/>
    </w:rPr>
  </w:style>
  <w:style w:type="paragraph" w:customStyle="1" w:styleId="DVVictheme">
    <w:name w:val="DV Vic theme"/>
    <w:basedOn w:val="Normal"/>
    <w:link w:val="DVVicthemeChar"/>
    <w:rsid w:val="0058624B"/>
    <w:pPr>
      <w:jc w:val="both"/>
    </w:pPr>
    <w:rPr>
      <w:rFonts w:eastAsiaTheme="minorHAnsi"/>
      <w:color w:val="auto"/>
    </w:rPr>
  </w:style>
  <w:style w:type="character" w:customStyle="1" w:styleId="DVVicthemeChar">
    <w:name w:val="DV Vic theme Char"/>
    <w:basedOn w:val="DefaultParagraphFont"/>
    <w:link w:val="DVVictheme"/>
    <w:rsid w:val="0058624B"/>
    <w:rPr>
      <w:rFonts w:ascii="Calibri Light" w:eastAsiaTheme="minorHAnsi" w:hAnsi="Calibri Light"/>
      <w:lang w:val="en-AU"/>
    </w:rPr>
  </w:style>
  <w:style w:type="character" w:styleId="Hyperlink">
    <w:name w:val="Hyperlink"/>
    <w:basedOn w:val="DefaultParagraphFont"/>
    <w:uiPriority w:val="99"/>
    <w:unhideWhenUsed/>
    <w:rsid w:val="0051305D"/>
    <w:rPr>
      <w:color w:val="0000FF" w:themeColor="hyperlink"/>
      <w:u w:val="single"/>
    </w:rPr>
  </w:style>
  <w:style w:type="character" w:styleId="UnresolvedMention">
    <w:name w:val="Unresolved Mention"/>
    <w:basedOn w:val="DefaultParagraphFont"/>
    <w:uiPriority w:val="99"/>
    <w:semiHidden/>
    <w:unhideWhenUsed/>
    <w:rsid w:val="0051305D"/>
    <w:rPr>
      <w:color w:val="605E5C"/>
      <w:shd w:val="clear" w:color="auto" w:fill="E1DFDD"/>
    </w:rPr>
  </w:style>
  <w:style w:type="character" w:styleId="FollowedHyperlink">
    <w:name w:val="FollowedHyperlink"/>
    <w:basedOn w:val="DefaultParagraphFont"/>
    <w:uiPriority w:val="99"/>
    <w:semiHidden/>
    <w:unhideWhenUsed/>
    <w:rsid w:val="00B55D35"/>
    <w:rPr>
      <w:color w:val="800080" w:themeColor="followedHyperlink"/>
      <w:u w:val="single"/>
    </w:rPr>
  </w:style>
  <w:style w:type="paragraph" w:styleId="TOC3">
    <w:name w:val="toc 3"/>
    <w:basedOn w:val="Normal"/>
    <w:next w:val="Normal"/>
    <w:autoRedefine/>
    <w:uiPriority w:val="39"/>
    <w:unhideWhenUsed/>
    <w:rsid w:val="009160F2"/>
    <w:pPr>
      <w:spacing w:after="100"/>
      <w:ind w:left="440"/>
    </w:pPr>
  </w:style>
  <w:style w:type="paragraph" w:styleId="TOC2">
    <w:name w:val="toc 2"/>
    <w:basedOn w:val="Normal"/>
    <w:next w:val="Normal"/>
    <w:autoRedefine/>
    <w:uiPriority w:val="39"/>
    <w:unhideWhenUsed/>
    <w:rsid w:val="009160F2"/>
    <w:pPr>
      <w:spacing w:after="100"/>
      <w:ind w:left="220"/>
    </w:pPr>
  </w:style>
  <w:style w:type="character" w:customStyle="1" w:styleId="rpl-text-label">
    <w:name w:val="rpl-text-label"/>
    <w:basedOn w:val="DefaultParagraphFont"/>
    <w:rsid w:val="00BE4530"/>
  </w:style>
  <w:style w:type="character" w:customStyle="1" w:styleId="rpl-text-icongroup">
    <w:name w:val="rpl-text-icon__group"/>
    <w:basedOn w:val="DefaultParagraphFont"/>
    <w:rsid w:val="00BE4530"/>
  </w:style>
  <w:style w:type="paragraph" w:styleId="NormalWeb">
    <w:name w:val="Normal (Web)"/>
    <w:basedOn w:val="Normal"/>
    <w:uiPriority w:val="99"/>
    <w:semiHidden/>
    <w:unhideWhenUsed/>
    <w:rsid w:val="00BE453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BodyText">
    <w:name w:val="Body Text"/>
    <w:basedOn w:val="Normal"/>
    <w:link w:val="BodyTextChar"/>
    <w:uiPriority w:val="99"/>
    <w:rsid w:val="003E04D9"/>
    <w:pPr>
      <w:spacing w:after="120" w:line="240" w:lineRule="auto"/>
    </w:pPr>
    <w:rPr>
      <w:rFonts w:ascii="Times New Roman" w:eastAsia="Times New Roman" w:hAnsi="Times New Roman" w:cs="Times New Roman"/>
      <w:color w:val="auto"/>
      <w:sz w:val="24"/>
      <w:szCs w:val="24"/>
      <w:lang w:val="en-GB"/>
    </w:rPr>
  </w:style>
  <w:style w:type="character" w:customStyle="1" w:styleId="BodyTextChar">
    <w:name w:val="Body Text Char"/>
    <w:basedOn w:val="DefaultParagraphFont"/>
    <w:link w:val="BodyText"/>
    <w:uiPriority w:val="99"/>
    <w:rsid w:val="003E04D9"/>
    <w:rPr>
      <w:rFonts w:ascii="Times New Roman" w:eastAsia="Times New Roman" w:hAnsi="Times New Roman" w:cs="Times New Roman"/>
      <w:sz w:val="24"/>
      <w:szCs w:val="24"/>
      <w:lang w:val="en-GB"/>
    </w:rPr>
  </w:style>
  <w:style w:type="paragraph" w:customStyle="1" w:styleId="Bulletpoint">
    <w:name w:val="Bullet point"/>
    <w:basedOn w:val="ListBullet"/>
    <w:link w:val="BulletpointChar"/>
    <w:autoRedefine/>
    <w:qFormat/>
    <w:rsid w:val="00F408E3"/>
    <w:pPr>
      <w:numPr>
        <w:numId w:val="17"/>
      </w:numPr>
      <w:ind w:left="357" w:hanging="357"/>
    </w:pPr>
    <w:rPr>
      <w:color w:val="auto"/>
      <w:sz w:val="20"/>
    </w:rPr>
  </w:style>
  <w:style w:type="paragraph" w:styleId="TOC4">
    <w:name w:val="toc 4"/>
    <w:basedOn w:val="Normal"/>
    <w:next w:val="Normal"/>
    <w:autoRedefine/>
    <w:uiPriority w:val="39"/>
    <w:semiHidden/>
    <w:unhideWhenUsed/>
    <w:rsid w:val="009160F2"/>
    <w:pPr>
      <w:spacing w:after="100"/>
      <w:ind w:left="660"/>
    </w:pPr>
    <w:rPr>
      <w:color w:val="auto"/>
    </w:rPr>
  </w:style>
  <w:style w:type="table" w:styleId="PlainTable3">
    <w:name w:val="Plain Table 3"/>
    <w:basedOn w:val="TableNormal"/>
    <w:uiPriority w:val="43"/>
    <w:rsid w:val="00121F24"/>
    <w:pPr>
      <w:spacing w:after="0" w:line="240" w:lineRule="auto"/>
    </w:pPr>
    <w:rPr>
      <w:color w:val="FF79FF"/>
    </w:rPr>
    <w:tblPr>
      <w:tblStyleRowBandSize w:val="1"/>
      <w:tblStyleColBandSize w:val="1"/>
    </w:tblPr>
    <w:tcPr>
      <w:shd w:val="clear" w:color="33B9FF" w:fill="auto"/>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ListParagraphChar">
    <w:name w:val="List Paragraph Char"/>
    <w:basedOn w:val="DefaultParagraphFont"/>
    <w:link w:val="ListParagraph"/>
    <w:uiPriority w:val="34"/>
    <w:rsid w:val="00D039E2"/>
    <w:rPr>
      <w:rFonts w:ascii="Gotham Book" w:hAnsi="Gotham Book"/>
      <w:color w:val="000000" w:themeColor="text1"/>
      <w:lang w:val="en-AU"/>
    </w:rPr>
  </w:style>
  <w:style w:type="character" w:customStyle="1" w:styleId="BulletpointChar">
    <w:name w:val="Bullet point Char"/>
    <w:basedOn w:val="ListParagraphChar"/>
    <w:link w:val="Bulletpoint"/>
    <w:rsid w:val="00F408E3"/>
    <w:rPr>
      <w:rFonts w:ascii="Arial" w:hAnsi="Arial"/>
      <w:color w:val="000000" w:themeColor="text1"/>
      <w:sz w:val="20"/>
      <w:lang w:val="en-AU"/>
    </w:rPr>
  </w:style>
  <w:style w:type="table" w:styleId="GridTable2-Accent1">
    <w:name w:val="Grid Table 2 Accent 1"/>
    <w:basedOn w:val="TableNormal"/>
    <w:uiPriority w:val="47"/>
    <w:rsid w:val="00121F24"/>
    <w:pPr>
      <w:spacing w:after="0" w:line="240" w:lineRule="auto"/>
    </w:pPr>
    <w:tblPr>
      <w:tblStyleRowBandSize w:val="1"/>
      <w:tblStyleColBandSize w:val="1"/>
      <w:tblBorders>
        <w:top w:val="single" w:sz="8" w:space="0" w:color="FF79FF"/>
        <w:bottom w:val="single" w:sz="8" w:space="0" w:color="FF79FF"/>
        <w:insideH w:val="single" w:sz="8" w:space="0" w:color="FF79FF"/>
        <w:insideV w:val="single" w:sz="8" w:space="0" w:color="FF79FF"/>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4">
    <w:name w:val="Plain Table 4"/>
    <w:basedOn w:val="TableNormal"/>
    <w:uiPriority w:val="44"/>
    <w:rsid w:val="009D7A60"/>
    <w:pPr>
      <w:spacing w:after="0" w:line="240" w:lineRule="auto"/>
    </w:pPr>
    <w:rPr>
      <w:rFonts w:ascii="DM Sans" w:hAnsi="DM Sans"/>
      <w:color w:val="000000" w:themeColor="text1"/>
    </w:rPr>
    <w:tblPr>
      <w:tblStyleRowBandSize w:val="1"/>
      <w:tblStyleColBandSize w:val="1"/>
    </w:tblPr>
    <w:tblStylePr w:type="firstRow">
      <w:pPr>
        <w:wordWrap/>
        <w:spacing w:afterLines="0" w:after="120" w:afterAutospacing="0"/>
      </w:pPr>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
    <w:name w:val="Footnotes"/>
    <w:basedOn w:val="FootnoteText"/>
    <w:link w:val="FootnotesChar"/>
    <w:qFormat/>
    <w:rsid w:val="002559E9"/>
    <w:pPr>
      <w:spacing w:after="80"/>
    </w:pPr>
    <w:rPr>
      <w:rFonts w:ascii="Arial" w:hAnsi="Arial" w:cs="Calibri Light"/>
      <w:sz w:val="16"/>
      <w:szCs w:val="16"/>
    </w:rPr>
  </w:style>
  <w:style w:type="table" w:customStyle="1" w:styleId="PinkRowTableStyle">
    <w:name w:val="Pink Row Table Style"/>
    <w:basedOn w:val="TableNormal"/>
    <w:uiPriority w:val="99"/>
    <w:rsid w:val="00A94D2D"/>
    <w:pPr>
      <w:spacing w:after="0" w:line="240" w:lineRule="auto"/>
    </w:pPr>
    <w:tblPr>
      <w:tblStyleRowBandSize w:val="1"/>
      <w:tblBorders>
        <w:top w:val="single" w:sz="4" w:space="0" w:color="FF79FF"/>
        <w:left w:val="single" w:sz="4" w:space="0" w:color="FF79FF"/>
        <w:bottom w:val="single" w:sz="4" w:space="0" w:color="FF79FF"/>
        <w:right w:val="single" w:sz="4" w:space="0" w:color="FF79FF"/>
        <w:insideH w:val="single" w:sz="4" w:space="0" w:color="FF79FF"/>
        <w:insideV w:val="single" w:sz="4" w:space="0" w:color="FF79FF"/>
      </w:tblBorders>
    </w:tblPr>
    <w:tblStylePr w:type="firstRow">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pct25" w:color="FF79FF" w:fill="FF79FF"/>
      </w:tcPr>
    </w:tblStylePr>
    <w:tblStylePr w:type="band1Horz">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tcPr>
    </w:tblStylePr>
    <w:tblStylePr w:type="band2Horz">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clear" w:color="auto" w:fill="FFE4FF"/>
      </w:tcPr>
    </w:tblStylePr>
  </w:style>
  <w:style w:type="table" w:styleId="ListTable6Colorful-Accent4">
    <w:name w:val="List Table 6 Colorful Accent 4"/>
    <w:basedOn w:val="TableNormal"/>
    <w:uiPriority w:val="51"/>
    <w:rsid w:val="00F414CE"/>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Columns4">
    <w:name w:val="Table Columns 4"/>
    <w:basedOn w:val="TableNormal"/>
    <w:uiPriority w:val="99"/>
    <w:semiHidden/>
    <w:unhideWhenUsed/>
    <w:rsid w:val="00D378B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PinkColumnTable">
    <w:name w:val="Pink Column Table"/>
    <w:basedOn w:val="TableColumns4"/>
    <w:uiPriority w:val="99"/>
    <w:rsid w:val="008453F3"/>
    <w:pPr>
      <w:spacing w:after="0" w:line="240" w:lineRule="auto"/>
    </w:pPr>
    <w:rPr>
      <w:rFonts w:ascii="Arial" w:hAnsi="Arial"/>
    </w:rPr>
    <w:tblPr>
      <w:tblStyleRowBandSize w:val="1"/>
      <w:tblBorders>
        <w:top w:val="single" w:sz="4" w:space="0" w:color="FF79FF"/>
        <w:left w:val="single" w:sz="4" w:space="0" w:color="FF79FF"/>
        <w:bottom w:val="single" w:sz="4" w:space="0" w:color="FF79FF"/>
        <w:right w:val="single" w:sz="4" w:space="0" w:color="FF79FF"/>
        <w:insideH w:val="single" w:sz="4" w:space="0" w:color="FF79FF"/>
        <w:insideV w:val="single" w:sz="4" w:space="0" w:color="FF79FF"/>
      </w:tblBorders>
    </w:tblPr>
    <w:tblStylePr w:type="firstRow">
      <w:rPr>
        <w:color w:val="FFFFFF"/>
      </w:rPr>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solid" w:color="FFFFFF" w:themeColor="background1" w:fill="FFFFFF"/>
      </w:tcPr>
    </w:tblStylePr>
    <w:tblStylePr w:type="lastRow">
      <w:rPr>
        <w:b/>
        <w:bCs/>
      </w:rPr>
      <w:tblPr/>
      <w:tcPr>
        <w:tcBorders>
          <w:tl2br w:val="none" w:sz="0" w:space="0" w:color="auto"/>
          <w:tr2bl w:val="none" w:sz="0" w:space="0" w:color="auto"/>
        </w:tcBorders>
      </w:tcPr>
    </w:tblStylePr>
    <w:tblStylePr w:type="firstCol">
      <w:tblPr/>
      <w:tcPr>
        <w:tcBorders>
          <w:top w:val="single" w:sz="4" w:space="0" w:color="FF79FF"/>
          <w:left w:val="single" w:sz="4" w:space="0" w:color="FF79FF"/>
          <w:bottom w:val="single" w:sz="4" w:space="0" w:color="FF79FF"/>
          <w:right w:val="single" w:sz="4" w:space="0" w:color="FF79FF"/>
          <w:insideH w:val="nil"/>
          <w:insideV w:val="nil"/>
          <w:tl2br w:val="nil"/>
          <w:tr2bl w:val="nil"/>
        </w:tcBorders>
        <w:shd w:val="solid" w:color="FFD7FF" w:fill="auto"/>
      </w:tcPr>
    </w:tblStylePr>
    <w:tblStylePr w:type="lastCol">
      <w:rPr>
        <w:b/>
        <w:bCs/>
      </w:rPr>
      <w:tblPr/>
      <w:tcPr>
        <w:tcBorders>
          <w:top w:val="single" w:sz="8" w:space="0" w:color="FF79FF"/>
          <w:left w:val="single" w:sz="8" w:space="0" w:color="FF79FF"/>
          <w:bottom w:val="single" w:sz="8" w:space="0" w:color="FF79FF"/>
          <w:right w:val="single" w:sz="8" w:space="0" w:color="FF79FF"/>
          <w:insideH w:val="nil"/>
          <w:insideV w:val="nil"/>
          <w:tl2br w:val="nil"/>
          <w:tr2bl w:val="nil"/>
        </w:tcBorders>
      </w:tcPr>
    </w:tblStylePr>
    <w:tblStylePr w:type="band1Vert">
      <w:rPr>
        <w:color w:val="auto"/>
      </w:rPr>
      <w:tblPr/>
      <w:tcPr>
        <w:tcBorders>
          <w:top w:val="single" w:sz="4" w:space="0" w:color="FF79FF"/>
          <w:left w:val="single" w:sz="4" w:space="0" w:color="FF79FF"/>
          <w:bottom w:val="single" w:sz="4" w:space="0" w:color="FF79FF"/>
          <w:right w:val="single" w:sz="4" w:space="0" w:color="FF79FF"/>
          <w:insideH w:val="nil"/>
          <w:insideV w:val="nil"/>
          <w:tl2br w:val="nil"/>
          <w:tr2bl w:val="nil"/>
        </w:tcBorders>
        <w:shd w:val="clear" w:color="008080" w:fill="FFFFFF"/>
      </w:tcPr>
    </w:tblStylePr>
    <w:tblStylePr w:type="band2Vert">
      <w:rPr>
        <w:color w:val="auto"/>
      </w:rPr>
      <w:tblPr/>
      <w:tcPr>
        <w:tcBorders>
          <w:top w:val="single" w:sz="8" w:space="0" w:color="FF79FF"/>
          <w:left w:val="single" w:sz="8" w:space="0" w:color="FF79FF"/>
          <w:bottom w:val="single" w:sz="8" w:space="0" w:color="FF79FF"/>
          <w:right w:val="single" w:sz="8" w:space="0" w:color="FF79FF"/>
          <w:insideH w:val="nil"/>
          <w:insideV w:val="nil"/>
          <w:tl2br w:val="nil"/>
          <w:tr2bl w:val="nil"/>
        </w:tcBorders>
        <w:shd w:val="solid" w:color="FFD7FF" w:fill="FFFFFF"/>
      </w:tcPr>
    </w:tblStylePr>
    <w:tblStylePr w:type="band1Horz">
      <w:tblPr/>
      <w:tcPr>
        <w:tcBorders>
          <w:top w:val="single" w:sz="8" w:space="0" w:color="FF79FF"/>
          <w:left w:val="single" w:sz="8" w:space="0" w:color="FF79FF"/>
          <w:bottom w:val="single" w:sz="8" w:space="0" w:color="FF79FF"/>
          <w:right w:val="single" w:sz="8" w:space="0" w:color="FF79FF"/>
          <w:insideH w:val="single" w:sz="6" w:space="0" w:color="FF79FF"/>
          <w:insideV w:val="single" w:sz="6" w:space="0" w:color="FF79FF"/>
          <w:tl2br w:val="nil"/>
          <w:tr2bl w:val="nil"/>
        </w:tcBorders>
      </w:tcPr>
    </w:tblStylePr>
    <w:tblStylePr w:type="band2Horz">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solid" w:color="FFFFFF" w:themeColor="background1" w:fill="auto"/>
      </w:tcPr>
    </w:tblStylePr>
  </w:style>
  <w:style w:type="character" w:customStyle="1" w:styleId="normaltextrun">
    <w:name w:val="normaltextrun"/>
    <w:basedOn w:val="DefaultParagraphFont"/>
    <w:rsid w:val="00B208EF"/>
  </w:style>
  <w:style w:type="character" w:customStyle="1" w:styleId="eop">
    <w:name w:val="eop"/>
    <w:basedOn w:val="DefaultParagraphFont"/>
    <w:rsid w:val="00B208EF"/>
  </w:style>
  <w:style w:type="character" w:customStyle="1" w:styleId="FootnotesChar">
    <w:name w:val="Footnotes Char"/>
    <w:basedOn w:val="FootnoteTextChar"/>
    <w:link w:val="Footnotes"/>
    <w:rsid w:val="002559E9"/>
    <w:rPr>
      <w:rFonts w:ascii="Arial" w:hAnsi="Arial" w:cs="Calibri Light"/>
      <w:color w:val="000000" w:themeColor="text1"/>
      <w:sz w:val="16"/>
      <w:szCs w:val="16"/>
      <w:lang w:val="en-AU"/>
    </w:rPr>
  </w:style>
  <w:style w:type="paragraph" w:styleId="ListBullet">
    <w:name w:val="List Bullet"/>
    <w:basedOn w:val="Normal"/>
    <w:uiPriority w:val="99"/>
    <w:semiHidden/>
    <w:unhideWhenUsed/>
    <w:rsid w:val="008E3D55"/>
    <w:pPr>
      <w:numPr>
        <w:numId w:val="1"/>
      </w:numPr>
      <w:contextualSpacing/>
    </w:p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E7018C"/>
    <w:pPr>
      <w:spacing w:before="120" w:after="120" w:line="240" w:lineRule="exact"/>
      <w:jc w:val="both"/>
    </w:pPr>
    <w:rPr>
      <w:rFonts w:asciiTheme="minorHAnsi" w:hAnsiTheme="minorHAnsi"/>
      <w:color w:val="auto"/>
      <w:vertAlign w:val="superscript"/>
      <w:lang w:val="en-US"/>
    </w:rPr>
  </w:style>
  <w:style w:type="paragraph" w:customStyle="1" w:styleId="NumberedListStyle">
    <w:name w:val="Numbered List Style"/>
    <w:basedOn w:val="Bulletpoint"/>
    <w:link w:val="NumberedListStyleChar"/>
    <w:qFormat/>
    <w:rsid w:val="009C282B"/>
    <w:pPr>
      <w:numPr>
        <w:numId w:val="2"/>
      </w:numPr>
    </w:pPr>
  </w:style>
  <w:style w:type="numbering" w:customStyle="1" w:styleId="Style1">
    <w:name w:val="Style1"/>
    <w:uiPriority w:val="99"/>
    <w:rsid w:val="00263AA1"/>
    <w:pPr>
      <w:numPr>
        <w:numId w:val="3"/>
      </w:numPr>
    </w:pPr>
  </w:style>
  <w:style w:type="character" w:customStyle="1" w:styleId="NumberedListStyleChar">
    <w:name w:val="Numbered List Style Char"/>
    <w:basedOn w:val="BulletpointChar"/>
    <w:link w:val="NumberedListStyle"/>
    <w:rsid w:val="009C282B"/>
    <w:rPr>
      <w:rFonts w:ascii="Arial" w:hAnsi="Arial"/>
      <w:color w:val="000000" w:themeColor="text1"/>
      <w:sz w:val="20"/>
      <w:lang w:val="en-AU"/>
    </w:rPr>
  </w:style>
  <w:style w:type="numbering" w:customStyle="1" w:styleId="Style2">
    <w:name w:val="Style2"/>
    <w:uiPriority w:val="99"/>
    <w:rsid w:val="00263AA1"/>
    <w:pPr>
      <w:numPr>
        <w:numId w:val="4"/>
      </w:numPr>
    </w:pPr>
  </w:style>
  <w:style w:type="numbering" w:customStyle="1" w:styleId="Style3">
    <w:name w:val="Style3"/>
    <w:uiPriority w:val="99"/>
    <w:rsid w:val="00263AA1"/>
    <w:pPr>
      <w:numPr>
        <w:numId w:val="6"/>
      </w:numPr>
    </w:pPr>
  </w:style>
  <w:style w:type="numbering" w:customStyle="1" w:styleId="Style4">
    <w:name w:val="Style4"/>
    <w:uiPriority w:val="99"/>
    <w:rsid w:val="00FB2D80"/>
    <w:pPr>
      <w:numPr>
        <w:numId w:val="8"/>
      </w:numPr>
    </w:pPr>
  </w:style>
  <w:style w:type="numbering" w:customStyle="1" w:styleId="Style5">
    <w:name w:val="Style5"/>
    <w:uiPriority w:val="99"/>
    <w:rsid w:val="001055EB"/>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9319">
      <w:bodyDiv w:val="1"/>
      <w:marLeft w:val="0"/>
      <w:marRight w:val="0"/>
      <w:marTop w:val="0"/>
      <w:marBottom w:val="0"/>
      <w:divBdr>
        <w:top w:val="none" w:sz="0" w:space="0" w:color="auto"/>
        <w:left w:val="none" w:sz="0" w:space="0" w:color="auto"/>
        <w:bottom w:val="none" w:sz="0" w:space="0" w:color="auto"/>
        <w:right w:val="none" w:sz="0" w:space="0" w:color="auto"/>
      </w:divBdr>
    </w:div>
    <w:div w:id="191722985">
      <w:bodyDiv w:val="1"/>
      <w:marLeft w:val="0"/>
      <w:marRight w:val="0"/>
      <w:marTop w:val="0"/>
      <w:marBottom w:val="0"/>
      <w:divBdr>
        <w:top w:val="none" w:sz="0" w:space="0" w:color="auto"/>
        <w:left w:val="none" w:sz="0" w:space="0" w:color="auto"/>
        <w:bottom w:val="none" w:sz="0" w:space="0" w:color="auto"/>
        <w:right w:val="none" w:sz="0" w:space="0" w:color="auto"/>
      </w:divBdr>
    </w:div>
    <w:div w:id="263197254">
      <w:bodyDiv w:val="1"/>
      <w:marLeft w:val="0"/>
      <w:marRight w:val="0"/>
      <w:marTop w:val="0"/>
      <w:marBottom w:val="0"/>
      <w:divBdr>
        <w:top w:val="none" w:sz="0" w:space="0" w:color="auto"/>
        <w:left w:val="none" w:sz="0" w:space="0" w:color="auto"/>
        <w:bottom w:val="none" w:sz="0" w:space="0" w:color="auto"/>
        <w:right w:val="none" w:sz="0" w:space="0" w:color="auto"/>
      </w:divBdr>
      <w:divsChild>
        <w:div w:id="634064771">
          <w:marLeft w:val="0"/>
          <w:marRight w:val="0"/>
          <w:marTop w:val="0"/>
          <w:marBottom w:val="0"/>
          <w:divBdr>
            <w:top w:val="none" w:sz="0" w:space="0" w:color="auto"/>
            <w:left w:val="none" w:sz="0" w:space="0" w:color="auto"/>
            <w:bottom w:val="none" w:sz="0" w:space="0" w:color="auto"/>
            <w:right w:val="none" w:sz="0" w:space="0" w:color="auto"/>
          </w:divBdr>
        </w:div>
        <w:div w:id="770589155">
          <w:marLeft w:val="0"/>
          <w:marRight w:val="0"/>
          <w:marTop w:val="0"/>
          <w:marBottom w:val="0"/>
          <w:divBdr>
            <w:top w:val="none" w:sz="0" w:space="0" w:color="auto"/>
            <w:left w:val="none" w:sz="0" w:space="0" w:color="auto"/>
            <w:bottom w:val="none" w:sz="0" w:space="0" w:color="auto"/>
            <w:right w:val="none" w:sz="0" w:space="0" w:color="auto"/>
          </w:divBdr>
        </w:div>
        <w:div w:id="1261254812">
          <w:marLeft w:val="0"/>
          <w:marRight w:val="0"/>
          <w:marTop w:val="0"/>
          <w:marBottom w:val="0"/>
          <w:divBdr>
            <w:top w:val="none" w:sz="0" w:space="0" w:color="auto"/>
            <w:left w:val="none" w:sz="0" w:space="0" w:color="auto"/>
            <w:bottom w:val="none" w:sz="0" w:space="0" w:color="auto"/>
            <w:right w:val="none" w:sz="0" w:space="0" w:color="auto"/>
          </w:divBdr>
        </w:div>
        <w:div w:id="1165393727">
          <w:marLeft w:val="0"/>
          <w:marRight w:val="0"/>
          <w:marTop w:val="0"/>
          <w:marBottom w:val="0"/>
          <w:divBdr>
            <w:top w:val="none" w:sz="0" w:space="0" w:color="auto"/>
            <w:left w:val="none" w:sz="0" w:space="0" w:color="auto"/>
            <w:bottom w:val="none" w:sz="0" w:space="0" w:color="auto"/>
            <w:right w:val="none" w:sz="0" w:space="0" w:color="auto"/>
          </w:divBdr>
        </w:div>
        <w:div w:id="1084957640">
          <w:marLeft w:val="0"/>
          <w:marRight w:val="0"/>
          <w:marTop w:val="0"/>
          <w:marBottom w:val="0"/>
          <w:divBdr>
            <w:top w:val="none" w:sz="0" w:space="0" w:color="auto"/>
            <w:left w:val="none" w:sz="0" w:space="0" w:color="auto"/>
            <w:bottom w:val="none" w:sz="0" w:space="0" w:color="auto"/>
            <w:right w:val="none" w:sz="0" w:space="0" w:color="auto"/>
          </w:divBdr>
        </w:div>
        <w:div w:id="1329677236">
          <w:marLeft w:val="0"/>
          <w:marRight w:val="0"/>
          <w:marTop w:val="0"/>
          <w:marBottom w:val="0"/>
          <w:divBdr>
            <w:top w:val="none" w:sz="0" w:space="0" w:color="auto"/>
            <w:left w:val="none" w:sz="0" w:space="0" w:color="auto"/>
            <w:bottom w:val="none" w:sz="0" w:space="0" w:color="auto"/>
            <w:right w:val="none" w:sz="0" w:space="0" w:color="auto"/>
          </w:divBdr>
        </w:div>
        <w:div w:id="1904217756">
          <w:marLeft w:val="0"/>
          <w:marRight w:val="0"/>
          <w:marTop w:val="0"/>
          <w:marBottom w:val="0"/>
          <w:divBdr>
            <w:top w:val="none" w:sz="0" w:space="0" w:color="auto"/>
            <w:left w:val="none" w:sz="0" w:space="0" w:color="auto"/>
            <w:bottom w:val="none" w:sz="0" w:space="0" w:color="auto"/>
            <w:right w:val="none" w:sz="0" w:space="0" w:color="auto"/>
          </w:divBdr>
        </w:div>
      </w:divsChild>
    </w:div>
    <w:div w:id="514729557">
      <w:bodyDiv w:val="1"/>
      <w:marLeft w:val="0"/>
      <w:marRight w:val="0"/>
      <w:marTop w:val="0"/>
      <w:marBottom w:val="0"/>
      <w:divBdr>
        <w:top w:val="none" w:sz="0" w:space="0" w:color="auto"/>
        <w:left w:val="none" w:sz="0" w:space="0" w:color="auto"/>
        <w:bottom w:val="none" w:sz="0" w:space="0" w:color="auto"/>
        <w:right w:val="none" w:sz="0" w:space="0" w:color="auto"/>
      </w:divBdr>
    </w:div>
    <w:div w:id="570775359">
      <w:bodyDiv w:val="1"/>
      <w:marLeft w:val="0"/>
      <w:marRight w:val="0"/>
      <w:marTop w:val="0"/>
      <w:marBottom w:val="0"/>
      <w:divBdr>
        <w:top w:val="none" w:sz="0" w:space="0" w:color="auto"/>
        <w:left w:val="none" w:sz="0" w:space="0" w:color="auto"/>
        <w:bottom w:val="none" w:sz="0" w:space="0" w:color="auto"/>
        <w:right w:val="none" w:sz="0" w:space="0" w:color="auto"/>
      </w:divBdr>
      <w:divsChild>
        <w:div w:id="1230653955">
          <w:marLeft w:val="0"/>
          <w:marRight w:val="0"/>
          <w:marTop w:val="0"/>
          <w:marBottom w:val="0"/>
          <w:divBdr>
            <w:top w:val="none" w:sz="0" w:space="0" w:color="auto"/>
            <w:left w:val="none" w:sz="0" w:space="0" w:color="auto"/>
            <w:bottom w:val="none" w:sz="0" w:space="0" w:color="auto"/>
            <w:right w:val="none" w:sz="0" w:space="0" w:color="auto"/>
          </w:divBdr>
          <w:divsChild>
            <w:div w:id="114326635">
              <w:marLeft w:val="0"/>
              <w:marRight w:val="0"/>
              <w:marTop w:val="0"/>
              <w:marBottom w:val="0"/>
              <w:divBdr>
                <w:top w:val="none" w:sz="0" w:space="0" w:color="auto"/>
                <w:left w:val="none" w:sz="0" w:space="0" w:color="auto"/>
                <w:bottom w:val="none" w:sz="0" w:space="0" w:color="auto"/>
                <w:right w:val="none" w:sz="0" w:space="0" w:color="auto"/>
              </w:divBdr>
              <w:divsChild>
                <w:div w:id="341015180">
                  <w:marLeft w:val="0"/>
                  <w:marRight w:val="0"/>
                  <w:marTop w:val="0"/>
                  <w:marBottom w:val="0"/>
                  <w:divBdr>
                    <w:top w:val="none" w:sz="0" w:space="0" w:color="auto"/>
                    <w:left w:val="none" w:sz="0" w:space="0" w:color="auto"/>
                    <w:bottom w:val="none" w:sz="0" w:space="0" w:color="auto"/>
                    <w:right w:val="none" w:sz="0" w:space="0" w:color="auto"/>
                  </w:divBdr>
                  <w:divsChild>
                    <w:div w:id="1468088994">
                      <w:marLeft w:val="0"/>
                      <w:marRight w:val="0"/>
                      <w:marTop w:val="165"/>
                      <w:marBottom w:val="90"/>
                      <w:divBdr>
                        <w:top w:val="none" w:sz="0" w:space="0" w:color="auto"/>
                        <w:left w:val="none" w:sz="0" w:space="0" w:color="auto"/>
                        <w:bottom w:val="none" w:sz="0" w:space="0" w:color="auto"/>
                        <w:right w:val="none" w:sz="0" w:space="0" w:color="auto"/>
                      </w:divBdr>
                      <w:divsChild>
                        <w:div w:id="1796290282">
                          <w:marLeft w:val="0"/>
                          <w:marRight w:val="0"/>
                          <w:marTop w:val="0"/>
                          <w:marBottom w:val="0"/>
                          <w:divBdr>
                            <w:top w:val="none" w:sz="0" w:space="0" w:color="auto"/>
                            <w:left w:val="none" w:sz="0" w:space="0" w:color="auto"/>
                            <w:bottom w:val="none" w:sz="0" w:space="0" w:color="auto"/>
                            <w:right w:val="none" w:sz="0" w:space="0" w:color="auto"/>
                          </w:divBdr>
                        </w:div>
                      </w:divsChild>
                    </w:div>
                    <w:div w:id="1476992052">
                      <w:marLeft w:val="0"/>
                      <w:marRight w:val="0"/>
                      <w:marTop w:val="0"/>
                      <w:marBottom w:val="525"/>
                      <w:divBdr>
                        <w:top w:val="none" w:sz="0" w:space="0" w:color="auto"/>
                        <w:left w:val="none" w:sz="0" w:space="0" w:color="auto"/>
                        <w:bottom w:val="none" w:sz="0" w:space="0" w:color="auto"/>
                        <w:right w:val="none" w:sz="0" w:space="0" w:color="auto"/>
                      </w:divBdr>
                      <w:divsChild>
                        <w:div w:id="152902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62902">
          <w:marLeft w:val="0"/>
          <w:marRight w:val="0"/>
          <w:marTop w:val="0"/>
          <w:marBottom w:val="0"/>
          <w:divBdr>
            <w:top w:val="none" w:sz="0" w:space="0" w:color="auto"/>
            <w:left w:val="none" w:sz="0" w:space="0" w:color="auto"/>
            <w:bottom w:val="none" w:sz="0" w:space="0" w:color="auto"/>
            <w:right w:val="none" w:sz="0" w:space="0" w:color="auto"/>
          </w:divBdr>
          <w:divsChild>
            <w:div w:id="851454286">
              <w:marLeft w:val="0"/>
              <w:marRight w:val="0"/>
              <w:marTop w:val="0"/>
              <w:marBottom w:val="0"/>
              <w:divBdr>
                <w:top w:val="none" w:sz="0" w:space="0" w:color="auto"/>
                <w:left w:val="none" w:sz="0" w:space="0" w:color="auto"/>
                <w:bottom w:val="none" w:sz="0" w:space="0" w:color="auto"/>
                <w:right w:val="none" w:sz="0" w:space="0" w:color="auto"/>
              </w:divBdr>
              <w:divsChild>
                <w:div w:id="171459063">
                  <w:marLeft w:val="0"/>
                  <w:marRight w:val="0"/>
                  <w:marTop w:val="0"/>
                  <w:marBottom w:val="0"/>
                  <w:divBdr>
                    <w:top w:val="none" w:sz="0" w:space="0" w:color="auto"/>
                    <w:left w:val="none" w:sz="0" w:space="0" w:color="auto"/>
                    <w:bottom w:val="none" w:sz="0" w:space="0" w:color="auto"/>
                    <w:right w:val="none" w:sz="0" w:space="0" w:color="auto"/>
                  </w:divBdr>
                  <w:divsChild>
                    <w:div w:id="1877156074">
                      <w:marLeft w:val="0"/>
                      <w:marRight w:val="0"/>
                      <w:marTop w:val="435"/>
                      <w:marBottom w:val="75"/>
                      <w:divBdr>
                        <w:top w:val="none" w:sz="0" w:space="0" w:color="auto"/>
                        <w:left w:val="none" w:sz="0" w:space="0" w:color="auto"/>
                        <w:bottom w:val="none" w:sz="0" w:space="0" w:color="auto"/>
                        <w:right w:val="none" w:sz="0" w:space="0" w:color="auto"/>
                      </w:divBdr>
                      <w:divsChild>
                        <w:div w:id="2024088208">
                          <w:marLeft w:val="0"/>
                          <w:marRight w:val="0"/>
                          <w:marTop w:val="0"/>
                          <w:marBottom w:val="0"/>
                          <w:divBdr>
                            <w:top w:val="none" w:sz="0" w:space="0" w:color="auto"/>
                            <w:left w:val="none" w:sz="0" w:space="0" w:color="auto"/>
                            <w:bottom w:val="none" w:sz="0" w:space="0" w:color="auto"/>
                            <w:right w:val="none" w:sz="0" w:space="0" w:color="auto"/>
                          </w:divBdr>
                        </w:div>
                      </w:divsChild>
                    </w:div>
                    <w:div w:id="637150918">
                      <w:marLeft w:val="0"/>
                      <w:marRight w:val="0"/>
                      <w:marTop w:val="0"/>
                      <w:marBottom w:val="525"/>
                      <w:divBdr>
                        <w:top w:val="none" w:sz="0" w:space="0" w:color="auto"/>
                        <w:left w:val="none" w:sz="0" w:space="0" w:color="auto"/>
                        <w:bottom w:val="none" w:sz="0" w:space="0" w:color="auto"/>
                        <w:right w:val="none" w:sz="0" w:space="0" w:color="auto"/>
                      </w:divBdr>
                      <w:divsChild>
                        <w:div w:id="109381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444785">
      <w:bodyDiv w:val="1"/>
      <w:marLeft w:val="0"/>
      <w:marRight w:val="0"/>
      <w:marTop w:val="0"/>
      <w:marBottom w:val="0"/>
      <w:divBdr>
        <w:top w:val="none" w:sz="0" w:space="0" w:color="auto"/>
        <w:left w:val="none" w:sz="0" w:space="0" w:color="auto"/>
        <w:bottom w:val="none" w:sz="0" w:space="0" w:color="auto"/>
        <w:right w:val="none" w:sz="0" w:space="0" w:color="auto"/>
      </w:divBdr>
    </w:div>
    <w:div w:id="779566877">
      <w:bodyDiv w:val="1"/>
      <w:marLeft w:val="0"/>
      <w:marRight w:val="0"/>
      <w:marTop w:val="0"/>
      <w:marBottom w:val="0"/>
      <w:divBdr>
        <w:top w:val="none" w:sz="0" w:space="0" w:color="auto"/>
        <w:left w:val="none" w:sz="0" w:space="0" w:color="auto"/>
        <w:bottom w:val="none" w:sz="0" w:space="0" w:color="auto"/>
        <w:right w:val="none" w:sz="0" w:space="0" w:color="auto"/>
      </w:divBdr>
      <w:divsChild>
        <w:div w:id="1290357480">
          <w:marLeft w:val="0"/>
          <w:marRight w:val="0"/>
          <w:marTop w:val="0"/>
          <w:marBottom w:val="0"/>
          <w:divBdr>
            <w:top w:val="none" w:sz="0" w:space="0" w:color="auto"/>
            <w:left w:val="none" w:sz="0" w:space="0" w:color="auto"/>
            <w:bottom w:val="none" w:sz="0" w:space="0" w:color="auto"/>
            <w:right w:val="none" w:sz="0" w:space="0" w:color="auto"/>
          </w:divBdr>
          <w:divsChild>
            <w:div w:id="1045525487">
              <w:marLeft w:val="0"/>
              <w:marRight w:val="0"/>
              <w:marTop w:val="0"/>
              <w:marBottom w:val="0"/>
              <w:divBdr>
                <w:top w:val="none" w:sz="0" w:space="0" w:color="auto"/>
                <w:left w:val="none" w:sz="0" w:space="0" w:color="auto"/>
                <w:bottom w:val="none" w:sz="0" w:space="0" w:color="auto"/>
                <w:right w:val="none" w:sz="0" w:space="0" w:color="auto"/>
              </w:divBdr>
              <w:divsChild>
                <w:div w:id="683626913">
                  <w:marLeft w:val="0"/>
                  <w:marRight w:val="0"/>
                  <w:marTop w:val="0"/>
                  <w:marBottom w:val="0"/>
                  <w:divBdr>
                    <w:top w:val="none" w:sz="0" w:space="0" w:color="auto"/>
                    <w:left w:val="none" w:sz="0" w:space="0" w:color="auto"/>
                    <w:bottom w:val="none" w:sz="0" w:space="0" w:color="auto"/>
                    <w:right w:val="none" w:sz="0" w:space="0" w:color="auto"/>
                  </w:divBdr>
                  <w:divsChild>
                    <w:div w:id="1060131433">
                      <w:marLeft w:val="0"/>
                      <w:marRight w:val="0"/>
                      <w:marTop w:val="165"/>
                      <w:marBottom w:val="90"/>
                      <w:divBdr>
                        <w:top w:val="none" w:sz="0" w:space="0" w:color="auto"/>
                        <w:left w:val="none" w:sz="0" w:space="0" w:color="auto"/>
                        <w:bottom w:val="none" w:sz="0" w:space="0" w:color="auto"/>
                        <w:right w:val="none" w:sz="0" w:space="0" w:color="auto"/>
                      </w:divBdr>
                      <w:divsChild>
                        <w:div w:id="1739862588">
                          <w:marLeft w:val="0"/>
                          <w:marRight w:val="0"/>
                          <w:marTop w:val="0"/>
                          <w:marBottom w:val="0"/>
                          <w:divBdr>
                            <w:top w:val="none" w:sz="0" w:space="0" w:color="auto"/>
                            <w:left w:val="none" w:sz="0" w:space="0" w:color="auto"/>
                            <w:bottom w:val="none" w:sz="0" w:space="0" w:color="auto"/>
                            <w:right w:val="none" w:sz="0" w:space="0" w:color="auto"/>
                          </w:divBdr>
                        </w:div>
                      </w:divsChild>
                    </w:div>
                    <w:div w:id="1382317332">
                      <w:marLeft w:val="0"/>
                      <w:marRight w:val="0"/>
                      <w:marTop w:val="0"/>
                      <w:marBottom w:val="525"/>
                      <w:divBdr>
                        <w:top w:val="none" w:sz="0" w:space="0" w:color="auto"/>
                        <w:left w:val="none" w:sz="0" w:space="0" w:color="auto"/>
                        <w:bottom w:val="none" w:sz="0" w:space="0" w:color="auto"/>
                        <w:right w:val="none" w:sz="0" w:space="0" w:color="auto"/>
                      </w:divBdr>
                      <w:divsChild>
                        <w:div w:id="66906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338299">
          <w:marLeft w:val="0"/>
          <w:marRight w:val="0"/>
          <w:marTop w:val="0"/>
          <w:marBottom w:val="0"/>
          <w:divBdr>
            <w:top w:val="none" w:sz="0" w:space="0" w:color="auto"/>
            <w:left w:val="none" w:sz="0" w:space="0" w:color="auto"/>
            <w:bottom w:val="none" w:sz="0" w:space="0" w:color="auto"/>
            <w:right w:val="none" w:sz="0" w:space="0" w:color="auto"/>
          </w:divBdr>
          <w:divsChild>
            <w:div w:id="1208683369">
              <w:marLeft w:val="0"/>
              <w:marRight w:val="0"/>
              <w:marTop w:val="0"/>
              <w:marBottom w:val="0"/>
              <w:divBdr>
                <w:top w:val="none" w:sz="0" w:space="0" w:color="auto"/>
                <w:left w:val="none" w:sz="0" w:space="0" w:color="auto"/>
                <w:bottom w:val="none" w:sz="0" w:space="0" w:color="auto"/>
                <w:right w:val="none" w:sz="0" w:space="0" w:color="auto"/>
              </w:divBdr>
              <w:divsChild>
                <w:div w:id="686293100">
                  <w:marLeft w:val="0"/>
                  <w:marRight w:val="0"/>
                  <w:marTop w:val="0"/>
                  <w:marBottom w:val="0"/>
                  <w:divBdr>
                    <w:top w:val="none" w:sz="0" w:space="0" w:color="auto"/>
                    <w:left w:val="none" w:sz="0" w:space="0" w:color="auto"/>
                    <w:bottom w:val="none" w:sz="0" w:space="0" w:color="auto"/>
                    <w:right w:val="none" w:sz="0" w:space="0" w:color="auto"/>
                  </w:divBdr>
                  <w:divsChild>
                    <w:div w:id="1035547386">
                      <w:marLeft w:val="0"/>
                      <w:marRight w:val="0"/>
                      <w:marTop w:val="435"/>
                      <w:marBottom w:val="75"/>
                      <w:divBdr>
                        <w:top w:val="none" w:sz="0" w:space="0" w:color="auto"/>
                        <w:left w:val="none" w:sz="0" w:space="0" w:color="auto"/>
                        <w:bottom w:val="none" w:sz="0" w:space="0" w:color="auto"/>
                        <w:right w:val="none" w:sz="0" w:space="0" w:color="auto"/>
                      </w:divBdr>
                      <w:divsChild>
                        <w:div w:id="1337344713">
                          <w:marLeft w:val="0"/>
                          <w:marRight w:val="0"/>
                          <w:marTop w:val="0"/>
                          <w:marBottom w:val="0"/>
                          <w:divBdr>
                            <w:top w:val="none" w:sz="0" w:space="0" w:color="auto"/>
                            <w:left w:val="none" w:sz="0" w:space="0" w:color="auto"/>
                            <w:bottom w:val="none" w:sz="0" w:space="0" w:color="auto"/>
                            <w:right w:val="none" w:sz="0" w:space="0" w:color="auto"/>
                          </w:divBdr>
                        </w:div>
                      </w:divsChild>
                    </w:div>
                    <w:div w:id="604195586">
                      <w:marLeft w:val="0"/>
                      <w:marRight w:val="0"/>
                      <w:marTop w:val="0"/>
                      <w:marBottom w:val="525"/>
                      <w:divBdr>
                        <w:top w:val="none" w:sz="0" w:space="0" w:color="auto"/>
                        <w:left w:val="none" w:sz="0" w:space="0" w:color="auto"/>
                        <w:bottom w:val="none" w:sz="0" w:space="0" w:color="auto"/>
                        <w:right w:val="none" w:sz="0" w:space="0" w:color="auto"/>
                      </w:divBdr>
                      <w:divsChild>
                        <w:div w:id="109232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022087">
      <w:bodyDiv w:val="1"/>
      <w:marLeft w:val="0"/>
      <w:marRight w:val="0"/>
      <w:marTop w:val="0"/>
      <w:marBottom w:val="0"/>
      <w:divBdr>
        <w:top w:val="none" w:sz="0" w:space="0" w:color="auto"/>
        <w:left w:val="none" w:sz="0" w:space="0" w:color="auto"/>
        <w:bottom w:val="none" w:sz="0" w:space="0" w:color="auto"/>
        <w:right w:val="none" w:sz="0" w:space="0" w:color="auto"/>
      </w:divBdr>
      <w:divsChild>
        <w:div w:id="1995794862">
          <w:marLeft w:val="0"/>
          <w:marRight w:val="0"/>
          <w:marTop w:val="0"/>
          <w:marBottom w:val="0"/>
          <w:divBdr>
            <w:top w:val="none" w:sz="0" w:space="0" w:color="auto"/>
            <w:left w:val="none" w:sz="0" w:space="0" w:color="auto"/>
            <w:bottom w:val="none" w:sz="0" w:space="0" w:color="auto"/>
            <w:right w:val="none" w:sz="0" w:space="0" w:color="auto"/>
          </w:divBdr>
          <w:divsChild>
            <w:div w:id="805049702">
              <w:marLeft w:val="0"/>
              <w:marRight w:val="0"/>
              <w:marTop w:val="0"/>
              <w:marBottom w:val="0"/>
              <w:divBdr>
                <w:top w:val="none" w:sz="0" w:space="0" w:color="auto"/>
                <w:left w:val="none" w:sz="0" w:space="0" w:color="auto"/>
                <w:bottom w:val="none" w:sz="0" w:space="0" w:color="auto"/>
                <w:right w:val="none" w:sz="0" w:space="0" w:color="auto"/>
              </w:divBdr>
            </w:div>
          </w:divsChild>
        </w:div>
        <w:div w:id="1748073264">
          <w:marLeft w:val="0"/>
          <w:marRight w:val="0"/>
          <w:marTop w:val="0"/>
          <w:marBottom w:val="0"/>
          <w:divBdr>
            <w:top w:val="none" w:sz="0" w:space="0" w:color="auto"/>
            <w:left w:val="none" w:sz="0" w:space="0" w:color="auto"/>
            <w:bottom w:val="none" w:sz="0" w:space="0" w:color="auto"/>
            <w:right w:val="none" w:sz="0" w:space="0" w:color="auto"/>
          </w:divBdr>
          <w:divsChild>
            <w:div w:id="588587503">
              <w:marLeft w:val="0"/>
              <w:marRight w:val="0"/>
              <w:marTop w:val="0"/>
              <w:marBottom w:val="0"/>
              <w:divBdr>
                <w:top w:val="none" w:sz="0" w:space="0" w:color="auto"/>
                <w:left w:val="none" w:sz="0" w:space="0" w:color="auto"/>
                <w:bottom w:val="none" w:sz="0" w:space="0" w:color="auto"/>
                <w:right w:val="none" w:sz="0" w:space="0" w:color="auto"/>
              </w:divBdr>
            </w:div>
          </w:divsChild>
        </w:div>
        <w:div w:id="1976137966">
          <w:marLeft w:val="0"/>
          <w:marRight w:val="0"/>
          <w:marTop w:val="0"/>
          <w:marBottom w:val="0"/>
          <w:divBdr>
            <w:top w:val="none" w:sz="0" w:space="0" w:color="auto"/>
            <w:left w:val="none" w:sz="0" w:space="0" w:color="auto"/>
            <w:bottom w:val="none" w:sz="0" w:space="0" w:color="auto"/>
            <w:right w:val="none" w:sz="0" w:space="0" w:color="auto"/>
          </w:divBdr>
          <w:divsChild>
            <w:div w:id="1614823898">
              <w:marLeft w:val="0"/>
              <w:marRight w:val="0"/>
              <w:marTop w:val="0"/>
              <w:marBottom w:val="0"/>
              <w:divBdr>
                <w:top w:val="none" w:sz="0" w:space="0" w:color="auto"/>
                <w:left w:val="none" w:sz="0" w:space="0" w:color="auto"/>
                <w:bottom w:val="none" w:sz="0" w:space="0" w:color="auto"/>
                <w:right w:val="none" w:sz="0" w:space="0" w:color="auto"/>
              </w:divBdr>
            </w:div>
          </w:divsChild>
        </w:div>
        <w:div w:id="1936669299">
          <w:marLeft w:val="0"/>
          <w:marRight w:val="0"/>
          <w:marTop w:val="0"/>
          <w:marBottom w:val="0"/>
          <w:divBdr>
            <w:top w:val="none" w:sz="0" w:space="0" w:color="auto"/>
            <w:left w:val="none" w:sz="0" w:space="0" w:color="auto"/>
            <w:bottom w:val="none" w:sz="0" w:space="0" w:color="auto"/>
            <w:right w:val="none" w:sz="0" w:space="0" w:color="auto"/>
          </w:divBdr>
          <w:divsChild>
            <w:div w:id="609816887">
              <w:marLeft w:val="0"/>
              <w:marRight w:val="0"/>
              <w:marTop w:val="0"/>
              <w:marBottom w:val="0"/>
              <w:divBdr>
                <w:top w:val="none" w:sz="0" w:space="0" w:color="auto"/>
                <w:left w:val="none" w:sz="0" w:space="0" w:color="auto"/>
                <w:bottom w:val="none" w:sz="0" w:space="0" w:color="auto"/>
                <w:right w:val="none" w:sz="0" w:space="0" w:color="auto"/>
              </w:divBdr>
            </w:div>
          </w:divsChild>
        </w:div>
        <w:div w:id="1183789676">
          <w:marLeft w:val="0"/>
          <w:marRight w:val="0"/>
          <w:marTop w:val="0"/>
          <w:marBottom w:val="0"/>
          <w:divBdr>
            <w:top w:val="none" w:sz="0" w:space="0" w:color="auto"/>
            <w:left w:val="none" w:sz="0" w:space="0" w:color="auto"/>
            <w:bottom w:val="none" w:sz="0" w:space="0" w:color="auto"/>
            <w:right w:val="none" w:sz="0" w:space="0" w:color="auto"/>
          </w:divBdr>
          <w:divsChild>
            <w:div w:id="913975004">
              <w:marLeft w:val="0"/>
              <w:marRight w:val="0"/>
              <w:marTop w:val="0"/>
              <w:marBottom w:val="0"/>
              <w:divBdr>
                <w:top w:val="none" w:sz="0" w:space="0" w:color="auto"/>
                <w:left w:val="none" w:sz="0" w:space="0" w:color="auto"/>
                <w:bottom w:val="none" w:sz="0" w:space="0" w:color="auto"/>
                <w:right w:val="none" w:sz="0" w:space="0" w:color="auto"/>
              </w:divBdr>
            </w:div>
          </w:divsChild>
        </w:div>
        <w:div w:id="1884828223">
          <w:marLeft w:val="0"/>
          <w:marRight w:val="0"/>
          <w:marTop w:val="0"/>
          <w:marBottom w:val="0"/>
          <w:divBdr>
            <w:top w:val="none" w:sz="0" w:space="0" w:color="auto"/>
            <w:left w:val="none" w:sz="0" w:space="0" w:color="auto"/>
            <w:bottom w:val="none" w:sz="0" w:space="0" w:color="auto"/>
            <w:right w:val="none" w:sz="0" w:space="0" w:color="auto"/>
          </w:divBdr>
          <w:divsChild>
            <w:div w:id="10812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6791">
      <w:bodyDiv w:val="1"/>
      <w:marLeft w:val="0"/>
      <w:marRight w:val="0"/>
      <w:marTop w:val="0"/>
      <w:marBottom w:val="0"/>
      <w:divBdr>
        <w:top w:val="none" w:sz="0" w:space="0" w:color="auto"/>
        <w:left w:val="none" w:sz="0" w:space="0" w:color="auto"/>
        <w:bottom w:val="none" w:sz="0" w:space="0" w:color="auto"/>
        <w:right w:val="none" w:sz="0" w:space="0" w:color="auto"/>
      </w:divBdr>
      <w:divsChild>
        <w:div w:id="1558081427">
          <w:marLeft w:val="0"/>
          <w:marRight w:val="0"/>
          <w:marTop w:val="0"/>
          <w:marBottom w:val="0"/>
          <w:divBdr>
            <w:top w:val="none" w:sz="0" w:space="0" w:color="auto"/>
            <w:left w:val="none" w:sz="0" w:space="0" w:color="auto"/>
            <w:bottom w:val="none" w:sz="0" w:space="0" w:color="auto"/>
            <w:right w:val="none" w:sz="0" w:space="0" w:color="auto"/>
          </w:divBdr>
          <w:divsChild>
            <w:div w:id="1336109049">
              <w:marLeft w:val="0"/>
              <w:marRight w:val="0"/>
              <w:marTop w:val="0"/>
              <w:marBottom w:val="0"/>
              <w:divBdr>
                <w:top w:val="none" w:sz="0" w:space="0" w:color="auto"/>
                <w:left w:val="none" w:sz="0" w:space="0" w:color="auto"/>
                <w:bottom w:val="none" w:sz="0" w:space="0" w:color="auto"/>
                <w:right w:val="none" w:sz="0" w:space="0" w:color="auto"/>
              </w:divBdr>
            </w:div>
          </w:divsChild>
        </w:div>
        <w:div w:id="952320252">
          <w:marLeft w:val="0"/>
          <w:marRight w:val="0"/>
          <w:marTop w:val="0"/>
          <w:marBottom w:val="0"/>
          <w:divBdr>
            <w:top w:val="none" w:sz="0" w:space="0" w:color="auto"/>
            <w:left w:val="none" w:sz="0" w:space="0" w:color="auto"/>
            <w:bottom w:val="none" w:sz="0" w:space="0" w:color="auto"/>
            <w:right w:val="none" w:sz="0" w:space="0" w:color="auto"/>
          </w:divBdr>
          <w:divsChild>
            <w:div w:id="2061436640">
              <w:marLeft w:val="0"/>
              <w:marRight w:val="0"/>
              <w:marTop w:val="0"/>
              <w:marBottom w:val="0"/>
              <w:divBdr>
                <w:top w:val="none" w:sz="0" w:space="0" w:color="auto"/>
                <w:left w:val="none" w:sz="0" w:space="0" w:color="auto"/>
                <w:bottom w:val="none" w:sz="0" w:space="0" w:color="auto"/>
                <w:right w:val="none" w:sz="0" w:space="0" w:color="auto"/>
              </w:divBdr>
            </w:div>
          </w:divsChild>
        </w:div>
        <w:div w:id="92943239">
          <w:marLeft w:val="0"/>
          <w:marRight w:val="0"/>
          <w:marTop w:val="0"/>
          <w:marBottom w:val="0"/>
          <w:divBdr>
            <w:top w:val="none" w:sz="0" w:space="0" w:color="auto"/>
            <w:left w:val="none" w:sz="0" w:space="0" w:color="auto"/>
            <w:bottom w:val="none" w:sz="0" w:space="0" w:color="auto"/>
            <w:right w:val="none" w:sz="0" w:space="0" w:color="auto"/>
          </w:divBdr>
          <w:divsChild>
            <w:div w:id="1996907741">
              <w:marLeft w:val="0"/>
              <w:marRight w:val="0"/>
              <w:marTop w:val="0"/>
              <w:marBottom w:val="0"/>
              <w:divBdr>
                <w:top w:val="none" w:sz="0" w:space="0" w:color="auto"/>
                <w:left w:val="none" w:sz="0" w:space="0" w:color="auto"/>
                <w:bottom w:val="none" w:sz="0" w:space="0" w:color="auto"/>
                <w:right w:val="none" w:sz="0" w:space="0" w:color="auto"/>
              </w:divBdr>
            </w:div>
          </w:divsChild>
        </w:div>
        <w:div w:id="1275016965">
          <w:marLeft w:val="0"/>
          <w:marRight w:val="0"/>
          <w:marTop w:val="0"/>
          <w:marBottom w:val="0"/>
          <w:divBdr>
            <w:top w:val="none" w:sz="0" w:space="0" w:color="auto"/>
            <w:left w:val="none" w:sz="0" w:space="0" w:color="auto"/>
            <w:bottom w:val="none" w:sz="0" w:space="0" w:color="auto"/>
            <w:right w:val="none" w:sz="0" w:space="0" w:color="auto"/>
          </w:divBdr>
          <w:divsChild>
            <w:div w:id="564221910">
              <w:marLeft w:val="0"/>
              <w:marRight w:val="0"/>
              <w:marTop w:val="0"/>
              <w:marBottom w:val="0"/>
              <w:divBdr>
                <w:top w:val="none" w:sz="0" w:space="0" w:color="auto"/>
                <w:left w:val="none" w:sz="0" w:space="0" w:color="auto"/>
                <w:bottom w:val="none" w:sz="0" w:space="0" w:color="auto"/>
                <w:right w:val="none" w:sz="0" w:space="0" w:color="auto"/>
              </w:divBdr>
            </w:div>
          </w:divsChild>
        </w:div>
        <w:div w:id="648677378">
          <w:marLeft w:val="0"/>
          <w:marRight w:val="0"/>
          <w:marTop w:val="0"/>
          <w:marBottom w:val="0"/>
          <w:divBdr>
            <w:top w:val="none" w:sz="0" w:space="0" w:color="auto"/>
            <w:left w:val="none" w:sz="0" w:space="0" w:color="auto"/>
            <w:bottom w:val="none" w:sz="0" w:space="0" w:color="auto"/>
            <w:right w:val="none" w:sz="0" w:space="0" w:color="auto"/>
          </w:divBdr>
          <w:divsChild>
            <w:div w:id="2082219071">
              <w:marLeft w:val="0"/>
              <w:marRight w:val="0"/>
              <w:marTop w:val="0"/>
              <w:marBottom w:val="0"/>
              <w:divBdr>
                <w:top w:val="none" w:sz="0" w:space="0" w:color="auto"/>
                <w:left w:val="none" w:sz="0" w:space="0" w:color="auto"/>
                <w:bottom w:val="none" w:sz="0" w:space="0" w:color="auto"/>
                <w:right w:val="none" w:sz="0" w:space="0" w:color="auto"/>
              </w:divBdr>
            </w:div>
          </w:divsChild>
        </w:div>
        <w:div w:id="1994723055">
          <w:marLeft w:val="0"/>
          <w:marRight w:val="0"/>
          <w:marTop w:val="0"/>
          <w:marBottom w:val="0"/>
          <w:divBdr>
            <w:top w:val="none" w:sz="0" w:space="0" w:color="auto"/>
            <w:left w:val="none" w:sz="0" w:space="0" w:color="auto"/>
            <w:bottom w:val="none" w:sz="0" w:space="0" w:color="auto"/>
            <w:right w:val="none" w:sz="0" w:space="0" w:color="auto"/>
          </w:divBdr>
          <w:divsChild>
            <w:div w:id="1212494751">
              <w:marLeft w:val="0"/>
              <w:marRight w:val="0"/>
              <w:marTop w:val="0"/>
              <w:marBottom w:val="0"/>
              <w:divBdr>
                <w:top w:val="none" w:sz="0" w:space="0" w:color="auto"/>
                <w:left w:val="none" w:sz="0" w:space="0" w:color="auto"/>
                <w:bottom w:val="none" w:sz="0" w:space="0" w:color="auto"/>
                <w:right w:val="none" w:sz="0" w:space="0" w:color="auto"/>
              </w:divBdr>
            </w:div>
          </w:divsChild>
        </w:div>
        <w:div w:id="1242638457">
          <w:marLeft w:val="0"/>
          <w:marRight w:val="0"/>
          <w:marTop w:val="0"/>
          <w:marBottom w:val="0"/>
          <w:divBdr>
            <w:top w:val="none" w:sz="0" w:space="0" w:color="auto"/>
            <w:left w:val="none" w:sz="0" w:space="0" w:color="auto"/>
            <w:bottom w:val="none" w:sz="0" w:space="0" w:color="auto"/>
            <w:right w:val="none" w:sz="0" w:space="0" w:color="auto"/>
          </w:divBdr>
          <w:divsChild>
            <w:div w:id="4536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8938">
      <w:bodyDiv w:val="1"/>
      <w:marLeft w:val="0"/>
      <w:marRight w:val="0"/>
      <w:marTop w:val="0"/>
      <w:marBottom w:val="0"/>
      <w:divBdr>
        <w:top w:val="none" w:sz="0" w:space="0" w:color="auto"/>
        <w:left w:val="none" w:sz="0" w:space="0" w:color="auto"/>
        <w:bottom w:val="none" w:sz="0" w:space="0" w:color="auto"/>
        <w:right w:val="none" w:sz="0" w:space="0" w:color="auto"/>
      </w:divBdr>
    </w:div>
    <w:div w:id="1261528943">
      <w:bodyDiv w:val="1"/>
      <w:marLeft w:val="0"/>
      <w:marRight w:val="0"/>
      <w:marTop w:val="0"/>
      <w:marBottom w:val="0"/>
      <w:divBdr>
        <w:top w:val="none" w:sz="0" w:space="0" w:color="auto"/>
        <w:left w:val="none" w:sz="0" w:space="0" w:color="auto"/>
        <w:bottom w:val="none" w:sz="0" w:space="0" w:color="auto"/>
        <w:right w:val="none" w:sz="0" w:space="0" w:color="auto"/>
      </w:divBdr>
    </w:div>
    <w:div w:id="1326594773">
      <w:bodyDiv w:val="1"/>
      <w:marLeft w:val="0"/>
      <w:marRight w:val="0"/>
      <w:marTop w:val="0"/>
      <w:marBottom w:val="0"/>
      <w:divBdr>
        <w:top w:val="none" w:sz="0" w:space="0" w:color="auto"/>
        <w:left w:val="none" w:sz="0" w:space="0" w:color="auto"/>
        <w:bottom w:val="none" w:sz="0" w:space="0" w:color="auto"/>
        <w:right w:val="none" w:sz="0" w:space="0" w:color="auto"/>
      </w:divBdr>
    </w:div>
    <w:div w:id="1495221907">
      <w:bodyDiv w:val="1"/>
      <w:marLeft w:val="0"/>
      <w:marRight w:val="0"/>
      <w:marTop w:val="0"/>
      <w:marBottom w:val="0"/>
      <w:divBdr>
        <w:top w:val="none" w:sz="0" w:space="0" w:color="auto"/>
        <w:left w:val="none" w:sz="0" w:space="0" w:color="auto"/>
        <w:bottom w:val="none" w:sz="0" w:space="0" w:color="auto"/>
        <w:right w:val="none" w:sz="0" w:space="0" w:color="auto"/>
      </w:divBdr>
    </w:div>
    <w:div w:id="1606035566">
      <w:bodyDiv w:val="1"/>
      <w:marLeft w:val="0"/>
      <w:marRight w:val="0"/>
      <w:marTop w:val="0"/>
      <w:marBottom w:val="0"/>
      <w:divBdr>
        <w:top w:val="none" w:sz="0" w:space="0" w:color="auto"/>
        <w:left w:val="none" w:sz="0" w:space="0" w:color="auto"/>
        <w:bottom w:val="none" w:sz="0" w:space="0" w:color="auto"/>
        <w:right w:val="none" w:sz="0" w:space="0" w:color="auto"/>
      </w:divBdr>
    </w:div>
    <w:div w:id="1613048329">
      <w:bodyDiv w:val="1"/>
      <w:marLeft w:val="0"/>
      <w:marRight w:val="0"/>
      <w:marTop w:val="0"/>
      <w:marBottom w:val="0"/>
      <w:divBdr>
        <w:top w:val="none" w:sz="0" w:space="0" w:color="auto"/>
        <w:left w:val="none" w:sz="0" w:space="0" w:color="auto"/>
        <w:bottom w:val="none" w:sz="0" w:space="0" w:color="auto"/>
        <w:right w:val="none" w:sz="0" w:space="0" w:color="auto"/>
      </w:divBdr>
    </w:div>
    <w:div w:id="1703631097">
      <w:bodyDiv w:val="1"/>
      <w:marLeft w:val="0"/>
      <w:marRight w:val="0"/>
      <w:marTop w:val="0"/>
      <w:marBottom w:val="0"/>
      <w:divBdr>
        <w:top w:val="none" w:sz="0" w:space="0" w:color="auto"/>
        <w:left w:val="none" w:sz="0" w:space="0" w:color="auto"/>
        <w:bottom w:val="none" w:sz="0" w:space="0" w:color="auto"/>
        <w:right w:val="none" w:sz="0" w:space="0" w:color="auto"/>
      </w:divBdr>
    </w:div>
    <w:div w:id="1906798042">
      <w:bodyDiv w:val="1"/>
      <w:marLeft w:val="0"/>
      <w:marRight w:val="0"/>
      <w:marTop w:val="0"/>
      <w:marBottom w:val="0"/>
      <w:divBdr>
        <w:top w:val="none" w:sz="0" w:space="0" w:color="auto"/>
        <w:left w:val="none" w:sz="0" w:space="0" w:color="auto"/>
        <w:bottom w:val="none" w:sz="0" w:space="0" w:color="auto"/>
        <w:right w:val="none" w:sz="0" w:space="0" w:color="auto"/>
      </w:divBdr>
      <w:divsChild>
        <w:div w:id="1955792600">
          <w:marLeft w:val="0"/>
          <w:marRight w:val="0"/>
          <w:marTop w:val="0"/>
          <w:marBottom w:val="0"/>
          <w:divBdr>
            <w:top w:val="none" w:sz="0" w:space="0" w:color="auto"/>
            <w:left w:val="none" w:sz="0" w:space="0" w:color="auto"/>
            <w:bottom w:val="none" w:sz="0" w:space="0" w:color="auto"/>
            <w:right w:val="none" w:sz="0" w:space="0" w:color="auto"/>
          </w:divBdr>
        </w:div>
        <w:div w:id="339628489">
          <w:marLeft w:val="0"/>
          <w:marRight w:val="0"/>
          <w:marTop w:val="0"/>
          <w:marBottom w:val="0"/>
          <w:divBdr>
            <w:top w:val="none" w:sz="0" w:space="0" w:color="auto"/>
            <w:left w:val="none" w:sz="0" w:space="0" w:color="auto"/>
            <w:bottom w:val="none" w:sz="0" w:space="0" w:color="auto"/>
            <w:right w:val="none" w:sz="0" w:space="0" w:color="auto"/>
          </w:divBdr>
        </w:div>
        <w:div w:id="1035541715">
          <w:marLeft w:val="0"/>
          <w:marRight w:val="0"/>
          <w:marTop w:val="0"/>
          <w:marBottom w:val="0"/>
          <w:divBdr>
            <w:top w:val="none" w:sz="0" w:space="0" w:color="auto"/>
            <w:left w:val="none" w:sz="0" w:space="0" w:color="auto"/>
            <w:bottom w:val="none" w:sz="0" w:space="0" w:color="auto"/>
            <w:right w:val="none" w:sz="0" w:space="0" w:color="auto"/>
          </w:divBdr>
        </w:div>
        <w:div w:id="1639188258">
          <w:marLeft w:val="0"/>
          <w:marRight w:val="0"/>
          <w:marTop w:val="0"/>
          <w:marBottom w:val="0"/>
          <w:divBdr>
            <w:top w:val="none" w:sz="0" w:space="0" w:color="auto"/>
            <w:left w:val="none" w:sz="0" w:space="0" w:color="auto"/>
            <w:bottom w:val="none" w:sz="0" w:space="0" w:color="auto"/>
            <w:right w:val="none" w:sz="0" w:space="0" w:color="auto"/>
          </w:divBdr>
        </w:div>
        <w:div w:id="478378539">
          <w:marLeft w:val="0"/>
          <w:marRight w:val="0"/>
          <w:marTop w:val="0"/>
          <w:marBottom w:val="0"/>
          <w:divBdr>
            <w:top w:val="none" w:sz="0" w:space="0" w:color="auto"/>
            <w:left w:val="none" w:sz="0" w:space="0" w:color="auto"/>
            <w:bottom w:val="none" w:sz="0" w:space="0" w:color="auto"/>
            <w:right w:val="none" w:sz="0" w:space="0" w:color="auto"/>
          </w:divBdr>
        </w:div>
        <w:div w:id="2109307061">
          <w:marLeft w:val="0"/>
          <w:marRight w:val="0"/>
          <w:marTop w:val="0"/>
          <w:marBottom w:val="0"/>
          <w:divBdr>
            <w:top w:val="none" w:sz="0" w:space="0" w:color="auto"/>
            <w:left w:val="none" w:sz="0" w:space="0" w:color="auto"/>
            <w:bottom w:val="none" w:sz="0" w:space="0" w:color="auto"/>
            <w:right w:val="none" w:sz="0" w:space="0" w:color="auto"/>
          </w:divBdr>
        </w:div>
        <w:div w:id="1390303041">
          <w:marLeft w:val="0"/>
          <w:marRight w:val="0"/>
          <w:marTop w:val="0"/>
          <w:marBottom w:val="0"/>
          <w:divBdr>
            <w:top w:val="none" w:sz="0" w:space="0" w:color="auto"/>
            <w:left w:val="none" w:sz="0" w:space="0" w:color="auto"/>
            <w:bottom w:val="none" w:sz="0" w:space="0" w:color="auto"/>
            <w:right w:val="none" w:sz="0" w:space="0" w:color="auto"/>
          </w:divBdr>
        </w:div>
      </w:divsChild>
    </w:div>
    <w:div w:id="2069498783">
      <w:bodyDiv w:val="1"/>
      <w:marLeft w:val="0"/>
      <w:marRight w:val="0"/>
      <w:marTop w:val="0"/>
      <w:marBottom w:val="0"/>
      <w:divBdr>
        <w:top w:val="none" w:sz="0" w:space="0" w:color="auto"/>
        <w:left w:val="none" w:sz="0" w:space="0" w:color="auto"/>
        <w:bottom w:val="none" w:sz="0" w:space="0" w:color="auto"/>
        <w:right w:val="none" w:sz="0" w:space="0" w:color="auto"/>
      </w:divBdr>
    </w:div>
    <w:div w:id="20831371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525/9780520925441." TargetMode="External"/><Relationship Id="rId26" Type="http://schemas.openxmlformats.org/officeDocument/2006/relationships/hyperlink" Target="https://doi.org/10.1016/j.chiabu.2022.105515." TargetMode="External"/><Relationship Id="rId3" Type="http://schemas.openxmlformats.org/officeDocument/2006/relationships/customXml" Target="../customXml/item3.xml"/><Relationship Id="rId21" Type="http://schemas.openxmlformats.org/officeDocument/2006/relationships/hyperlink" Target="https://www.ejaustralia.org.au/dob-ins-and-domestic-violence-how-australias-welfare-fraud-tip-off-line-makes-women-less-safe/"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commbank.com.au/content/dam/commbank-assets/support/2021-09/unsw-disability-report-4.pdf." TargetMode="External"/><Relationship Id="rId25" Type="http://schemas.openxmlformats.org/officeDocument/2006/relationships/hyperlink" Target="https://apo.org.au/node/323482"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26181/21965183.V2." TargetMode="External"/><Relationship Id="rId20" Type="http://schemas.openxmlformats.org/officeDocument/2006/relationships/hyperlink" Target="https://www.anrows.org.au/publication/whatever-it-takes-access-for-women-with-disabilities-to-domestic-and-family-violence-services-final-report/read/" TargetMode="External"/><Relationship Id="rId29" Type="http://schemas.openxmlformats.org/officeDocument/2006/relationships/hyperlink" Target="https://www.ourwatch.org.au/change-the-story/changing-the-landscap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u.edu.au/about-vu/news-events/news/deaf-women-are-twice-as-likely-to-experience-domestic-violence-how-perpetrators-weaponise-disability" TargetMode="External"/><Relationship Id="rId32" Type="http://schemas.openxmlformats.org/officeDocument/2006/relationships/hyperlink" Target="https://doi.org/10.1016/j.socscimed.2025.118628" TargetMode="External"/><Relationship Id="rId5" Type="http://schemas.openxmlformats.org/officeDocument/2006/relationships/numbering" Target="numbering.xml"/><Relationship Id="rId15" Type="http://schemas.openxmlformats.org/officeDocument/2006/relationships/hyperlink" Target="https://www.alrc.gov.au/publication/equality-capacity-and-disability-in-commonwealth-laws-alrc-report-124/" TargetMode="External"/><Relationship Id="rId23" Type="http://schemas.openxmlformats.org/officeDocument/2006/relationships/hyperlink" Target="https://doi.org/10.1111/1753-6405.12498" TargetMode="External"/><Relationship Id="rId28" Type="http://schemas.openxmlformats.org/officeDocument/2006/relationships/hyperlink" Target="https://www.ndis.gov.au/news/9725-fraud-fusion-taskforce-investigates-1-billion-ndis-payments-first-year."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i.org/10.1002/j.1839-4655.2016.tb01235.x." TargetMode="External"/><Relationship Id="rId31" Type="http://schemas.openxmlformats.org/officeDocument/2006/relationships/hyperlink" Target="https://disability.royalcommission.gov.au/publications/final-report-volume-3-nature-and-extent-violence-abuse-neglect-and-exploit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ihw.gov.au/family-domestic-and-sexual-violence/population-groups/people-with-disability" TargetMode="External"/><Relationship Id="rId22" Type="http://schemas.openxmlformats.org/officeDocument/2006/relationships/hyperlink" Target="https://www.esafety.gov.au/sites/default/files/2021-09/TFA%20WWICD_accessible.pdf." TargetMode="External"/><Relationship Id="rId27" Type="http://schemas.openxmlformats.org/officeDocument/2006/relationships/hyperlink" Target="https://www.anrows.org.au/publication/women-disability-and-violence-barriers-to-accessing-justice-final-report/read/" TargetMode="External"/><Relationship Id="rId30" Type="http://schemas.openxmlformats.org/officeDocument/2006/relationships/hyperlink" Target="https://disability.royalcommission.gov.au/publications/final-report"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lenmcgregor\Downloads\Safe%20and%20Equal%20Report%20pink%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5CE588FA69E4CBA51E1AF270A78E8" ma:contentTypeVersion="15" ma:contentTypeDescription="Create a new document." ma:contentTypeScope="" ma:versionID="1ccd4d9c6f3e03529d2342bc8161a8b8">
  <xsd:schema xmlns:xsd="http://www.w3.org/2001/XMLSchema" xmlns:xs="http://www.w3.org/2001/XMLSchema" xmlns:p="http://schemas.microsoft.com/office/2006/metadata/properties" xmlns:ns2="6625dc44-2120-48f1-be62-509cf13a202e" xmlns:ns3="bf1973e2-2eda-4711-a8da-2d6e591ec33a" targetNamespace="http://schemas.microsoft.com/office/2006/metadata/properties" ma:root="true" ma:fieldsID="9e0fb92df114c3faacafd9f43d5d711c" ns2:_="" ns3:_="">
    <xsd:import namespace="6625dc44-2120-48f1-be62-509cf13a202e"/>
    <xsd:import namespace="bf1973e2-2eda-4711-a8da-2d6e591ec3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5dc44-2120-48f1-be62-509cf13a2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7da05e1-530e-4c4a-8d27-de54ee5c5df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973e2-2eda-4711-a8da-2d6e591ec33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c6fb577-3f93-4177-bf3f-fd42ee8891b7}" ma:internalName="TaxCatchAll" ma:showField="CatchAllData" ma:web="bf1973e2-2eda-4711-a8da-2d6e591ec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f1973e2-2eda-4711-a8da-2d6e591ec33a" xsi:nil="true"/>
    <lcf76f155ced4ddcb4097134ff3c332f xmlns="6625dc44-2120-48f1-be62-509cf13a202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FC0E0A-45C5-44F5-8CDA-051E1B0F4D5D}"/>
</file>

<file path=customXml/itemProps2.xml><?xml version="1.0" encoding="utf-8"?>
<ds:datastoreItem xmlns:ds="http://schemas.openxmlformats.org/officeDocument/2006/customXml" ds:itemID="{5E650DA4-DF0D-4B40-B129-3A1F33BB73D6}">
  <ds:schemaRefs>
    <ds:schemaRef ds:uri="http://schemas.openxmlformats.org/officeDocument/2006/bibliography"/>
  </ds:schemaRefs>
</ds:datastoreItem>
</file>

<file path=customXml/itemProps3.xml><?xml version="1.0" encoding="utf-8"?>
<ds:datastoreItem xmlns:ds="http://schemas.openxmlformats.org/officeDocument/2006/customXml" ds:itemID="{33C25FE3-AE48-492D-B19C-72D9A076EDEE}">
  <ds:schemaRefs>
    <ds:schemaRef ds:uri="http://schemas.microsoft.com/office/2006/metadata/properties"/>
    <ds:schemaRef ds:uri="http://schemas.microsoft.com/office/infopath/2007/PartnerControls"/>
    <ds:schemaRef ds:uri="e24be4f8-ceab-44b5-a7f7-26d05d13fabc"/>
    <ds:schemaRef ds:uri="bf1973e2-2eda-4711-a8da-2d6e591ec33a"/>
  </ds:schemaRefs>
</ds:datastoreItem>
</file>

<file path=customXml/itemProps4.xml><?xml version="1.0" encoding="utf-8"?>
<ds:datastoreItem xmlns:ds="http://schemas.openxmlformats.org/officeDocument/2006/customXml" ds:itemID="{0E16E00C-5361-447F-8E4B-6AF80E4E9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Safe and Equal Report pink Template (2)</Template>
  <TotalTime>56</TotalTime>
  <Pages>26</Pages>
  <Words>6691</Words>
  <Characters>41420</Characters>
  <Application>Microsoft Office Word</Application>
  <DocSecurity>0</DocSecurity>
  <Lines>583</Lines>
  <Paragraphs>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 McGregor</dc:creator>
  <cp:lastModifiedBy>Ellen McGregor</cp:lastModifiedBy>
  <cp:revision>1</cp:revision>
  <cp:lastPrinted>2021-04-01T00:04:00Z</cp:lastPrinted>
  <dcterms:created xsi:type="dcterms:W3CDTF">2026-09-21T04:00:00Z</dcterms:created>
  <dcterms:modified xsi:type="dcterms:W3CDTF">2026-09-21T04:57:00Z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0x0101001125CE588FA69E4CBA51E1AF270A78E8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